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A2B" w14:textId="69D49A16" w:rsidR="00957110" w:rsidRPr="00DA24B3" w:rsidRDefault="00957110" w:rsidP="00DA24B3">
      <w:pPr>
        <w:spacing w:after="0" w:line="240" w:lineRule="auto"/>
        <w:ind w:left="-142"/>
        <w:jc w:val="center"/>
        <w:rPr>
          <w:rFonts w:cstheme="minorHAnsi"/>
          <w:b/>
          <w:sz w:val="30"/>
          <w:szCs w:val="30"/>
        </w:rPr>
      </w:pPr>
      <w:r w:rsidRPr="00DA24B3">
        <w:rPr>
          <w:rFonts w:cstheme="minorHAnsi"/>
          <w:b/>
          <w:sz w:val="30"/>
          <w:szCs w:val="30"/>
        </w:rPr>
        <w:t>Razpis za mobilnost študentov do leta 202</w:t>
      </w:r>
      <w:r w:rsidR="007A5425">
        <w:rPr>
          <w:rFonts w:cstheme="minorHAnsi"/>
          <w:b/>
          <w:sz w:val="30"/>
          <w:szCs w:val="30"/>
        </w:rPr>
        <w:t>7</w:t>
      </w:r>
      <w:r w:rsidRPr="00DA24B3">
        <w:rPr>
          <w:rFonts w:cstheme="minorHAnsi"/>
          <w:b/>
          <w:sz w:val="30"/>
          <w:szCs w:val="30"/>
        </w:rPr>
        <w:t xml:space="preserve"> v okviru programa Erasmus+: </w:t>
      </w:r>
    </w:p>
    <w:p w14:paraId="20131A04" w14:textId="77777777" w:rsidR="00957110" w:rsidRPr="00DA24B3" w:rsidRDefault="00957110" w:rsidP="0095711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DA24B3">
        <w:rPr>
          <w:rFonts w:cstheme="minorHAnsi"/>
          <w:b/>
          <w:sz w:val="30"/>
          <w:szCs w:val="30"/>
        </w:rPr>
        <w:t>MOBILNOST IZVEN EU DRŽAV</w:t>
      </w:r>
    </w:p>
    <w:p w14:paraId="37C905EB" w14:textId="0949B4FC" w:rsidR="00CE20FF" w:rsidRDefault="00CE20FF" w:rsidP="00417E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B0D5DA" w14:textId="77777777" w:rsidR="00417ED3" w:rsidRPr="00417ED3" w:rsidRDefault="00417ED3" w:rsidP="00417ED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2509C3" w14:textId="4C722176" w:rsidR="00353773" w:rsidRPr="00DA24B3" w:rsidRDefault="00353773" w:rsidP="00417ED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Opis</w:t>
      </w:r>
    </w:p>
    <w:p w14:paraId="517A9092" w14:textId="77777777" w:rsidR="00CE20FF" w:rsidRPr="00417ED3" w:rsidRDefault="00CE20FF" w:rsidP="00417ED3">
      <w:pPr>
        <w:spacing w:after="0" w:line="240" w:lineRule="auto"/>
        <w:jc w:val="both"/>
        <w:rPr>
          <w:rFonts w:cstheme="minorHAnsi"/>
        </w:rPr>
      </w:pPr>
    </w:p>
    <w:p w14:paraId="6884D438" w14:textId="034CB1D6" w:rsidR="00353773" w:rsidRPr="00417ED3" w:rsidRDefault="00F9416D" w:rsidP="00417ED3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>Na podlagi razpis</w:t>
      </w:r>
      <w:r w:rsidR="00953E4D">
        <w:rPr>
          <w:rFonts w:cstheme="minorHAnsi"/>
        </w:rPr>
        <w:t>ov</w:t>
      </w:r>
      <w:r w:rsidRPr="00417ED3">
        <w:rPr>
          <w:rFonts w:cstheme="minorHAnsi"/>
        </w:rPr>
        <w:t xml:space="preserve"> programa Erasmus+ </w:t>
      </w:r>
      <w:r w:rsidR="001B0047">
        <w:rPr>
          <w:rFonts w:cstheme="minorHAnsi"/>
        </w:rPr>
        <w:t xml:space="preserve">v </w:t>
      </w:r>
      <w:r w:rsidR="00957110">
        <w:rPr>
          <w:rFonts w:cstheme="minorHAnsi"/>
        </w:rPr>
        <w:t>let</w:t>
      </w:r>
      <w:r w:rsidR="00953E4D">
        <w:rPr>
          <w:rFonts w:cstheme="minorHAnsi"/>
        </w:rPr>
        <w:t>ih</w:t>
      </w:r>
      <w:r w:rsidR="00957110">
        <w:rPr>
          <w:rFonts w:cstheme="minorHAnsi"/>
        </w:rPr>
        <w:t xml:space="preserve"> </w:t>
      </w:r>
      <w:r w:rsidRPr="00417ED3">
        <w:rPr>
          <w:rFonts w:cstheme="minorHAnsi"/>
        </w:rPr>
        <w:t>20</w:t>
      </w:r>
      <w:r w:rsidR="00EB63E5">
        <w:rPr>
          <w:rFonts w:cstheme="minorHAnsi"/>
        </w:rPr>
        <w:t>2</w:t>
      </w:r>
      <w:r w:rsidR="001B0047">
        <w:rPr>
          <w:rFonts w:cstheme="minorHAnsi"/>
        </w:rPr>
        <w:t>3</w:t>
      </w:r>
      <w:r w:rsidR="00953E4D">
        <w:rPr>
          <w:rFonts w:cstheme="minorHAnsi"/>
        </w:rPr>
        <w:t xml:space="preserve"> in 2024</w:t>
      </w:r>
      <w:r w:rsidRPr="00417ED3">
        <w:rPr>
          <w:rFonts w:cstheme="minorHAnsi"/>
        </w:rPr>
        <w:t>, ključni ukrep 1, Učna mobilnost posameznikov na področju terciarnega izobraževanja in usposabljanja, ki ga je objavil Center Republike Slovenije za evropske programe izobraževanja in usposabljanja</w:t>
      </w:r>
      <w:r w:rsidR="00957110">
        <w:rPr>
          <w:rFonts w:cstheme="minorHAnsi"/>
        </w:rPr>
        <w:t xml:space="preserve">, </w:t>
      </w:r>
      <w:r w:rsidR="00CE20FF" w:rsidRPr="00417ED3">
        <w:rPr>
          <w:rFonts w:cstheme="minorHAnsi"/>
        </w:rPr>
        <w:t xml:space="preserve">B2 Visoka šola za poslovne vede, zavod (v nadaljevanju: </w:t>
      </w:r>
      <w:r w:rsidR="0045697E">
        <w:rPr>
          <w:rFonts w:cstheme="minorHAnsi"/>
        </w:rPr>
        <w:t xml:space="preserve">B2 </w:t>
      </w:r>
      <w:r w:rsidR="00CE20FF" w:rsidRPr="00417ED3">
        <w:rPr>
          <w:rFonts w:cstheme="minorHAnsi"/>
        </w:rPr>
        <w:t xml:space="preserve">VŠPV) </w:t>
      </w:r>
      <w:r w:rsidRPr="00417ED3">
        <w:rPr>
          <w:rFonts w:cstheme="minorHAnsi"/>
        </w:rPr>
        <w:t xml:space="preserve">objavlja razpis za dotacije za izmenjavo za študij </w:t>
      </w:r>
      <w:r w:rsidR="00957110">
        <w:rPr>
          <w:rFonts w:cstheme="minorHAnsi"/>
        </w:rPr>
        <w:t xml:space="preserve">do 31. julija </w:t>
      </w:r>
      <w:r w:rsidRPr="00417ED3">
        <w:rPr>
          <w:rFonts w:cstheme="minorHAnsi"/>
        </w:rPr>
        <w:t>202</w:t>
      </w:r>
      <w:r w:rsidR="001B0047">
        <w:rPr>
          <w:rFonts w:cstheme="minorHAnsi"/>
        </w:rPr>
        <w:t>6</w:t>
      </w:r>
      <w:r w:rsidR="00953E4D">
        <w:rPr>
          <w:rFonts w:cstheme="minorHAnsi"/>
        </w:rPr>
        <w:t xml:space="preserve"> (razpis 2023) in do 31. julija 2027 (razpis 2024)</w:t>
      </w:r>
      <w:r w:rsidRPr="00417ED3">
        <w:rPr>
          <w:rFonts w:cstheme="minorHAnsi"/>
        </w:rPr>
        <w:t xml:space="preserve">. Dotacije se podeljujejo v okviru programa Erasmus+, Ključni ukrep </w:t>
      </w:r>
      <w:r w:rsidR="00CE20FF" w:rsidRPr="00417ED3">
        <w:rPr>
          <w:rFonts w:cstheme="minorHAnsi"/>
        </w:rPr>
        <w:t xml:space="preserve">1, </w:t>
      </w:r>
      <w:r w:rsidR="00CC6A89" w:rsidRPr="00417ED3">
        <w:rPr>
          <w:rFonts w:cstheme="minorHAnsi"/>
        </w:rPr>
        <w:t>KA 1</w:t>
      </w:r>
      <w:r w:rsidR="00B9524C" w:rsidRPr="00417ED3">
        <w:rPr>
          <w:rFonts w:cstheme="minorHAnsi"/>
        </w:rPr>
        <w:t>7</w:t>
      </w:r>
      <w:r w:rsidR="001B0047">
        <w:rPr>
          <w:rFonts w:cstheme="minorHAnsi"/>
        </w:rPr>
        <w:t>1</w:t>
      </w:r>
      <w:r w:rsidR="00353773" w:rsidRPr="00417ED3">
        <w:rPr>
          <w:rFonts w:cstheme="minorHAnsi"/>
        </w:rPr>
        <w:t>.</w:t>
      </w:r>
    </w:p>
    <w:p w14:paraId="04DCE738" w14:textId="77777777" w:rsidR="00CE20FF" w:rsidRPr="00417ED3" w:rsidRDefault="00CE20FF" w:rsidP="00417ED3">
      <w:pPr>
        <w:spacing w:after="0" w:line="240" w:lineRule="auto"/>
        <w:jc w:val="both"/>
        <w:rPr>
          <w:rFonts w:cstheme="minorHAnsi"/>
        </w:rPr>
      </w:pPr>
    </w:p>
    <w:p w14:paraId="634352C2" w14:textId="77777777" w:rsidR="00CE20FF" w:rsidRPr="00417ED3" w:rsidRDefault="00CE20FF" w:rsidP="00417ED3">
      <w:pPr>
        <w:spacing w:after="0" w:line="240" w:lineRule="auto"/>
        <w:jc w:val="both"/>
        <w:rPr>
          <w:rFonts w:cstheme="minorHAnsi"/>
        </w:rPr>
      </w:pPr>
    </w:p>
    <w:p w14:paraId="68BC14FD" w14:textId="33F96E7E" w:rsidR="00353773" w:rsidRPr="00DA24B3" w:rsidRDefault="00353773" w:rsidP="00417ED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Obdobje mobilnosti</w:t>
      </w:r>
    </w:p>
    <w:p w14:paraId="451E0465" w14:textId="77777777" w:rsidR="00CE20FF" w:rsidRPr="00417ED3" w:rsidRDefault="00CE20FF" w:rsidP="00417ED3">
      <w:pPr>
        <w:spacing w:after="0" w:line="240" w:lineRule="auto"/>
        <w:jc w:val="both"/>
        <w:rPr>
          <w:rFonts w:cstheme="minorHAnsi"/>
        </w:rPr>
      </w:pPr>
    </w:p>
    <w:p w14:paraId="59E2C38F" w14:textId="3BBDBDD1" w:rsidR="00CB0C11" w:rsidRPr="00417ED3" w:rsidRDefault="00F9416D" w:rsidP="00417ED3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 xml:space="preserve">Obdobje </w:t>
      </w:r>
      <w:r w:rsidRPr="00957110">
        <w:rPr>
          <w:rFonts w:cstheme="minorHAnsi"/>
          <w:i/>
          <w:iCs/>
        </w:rPr>
        <w:t>študija</w:t>
      </w:r>
      <w:r w:rsidRPr="00417ED3">
        <w:rPr>
          <w:rFonts w:cstheme="minorHAnsi"/>
        </w:rPr>
        <w:t xml:space="preserve"> </w:t>
      </w:r>
      <w:r w:rsidR="001B0047">
        <w:rPr>
          <w:rFonts w:cstheme="minorHAnsi"/>
        </w:rPr>
        <w:t xml:space="preserve">ali </w:t>
      </w:r>
      <w:r w:rsidR="001B0047" w:rsidRPr="001B0047">
        <w:rPr>
          <w:rFonts w:cstheme="minorHAnsi"/>
          <w:i/>
          <w:iCs/>
        </w:rPr>
        <w:t>prakse</w:t>
      </w:r>
      <w:r w:rsidR="001B0047">
        <w:rPr>
          <w:rFonts w:cstheme="minorHAnsi"/>
        </w:rPr>
        <w:t xml:space="preserve"> </w:t>
      </w:r>
      <w:r w:rsidRPr="00417ED3">
        <w:rPr>
          <w:rFonts w:cstheme="minorHAnsi"/>
        </w:rPr>
        <w:t xml:space="preserve">v tujini je omejeno od </w:t>
      </w:r>
      <w:r w:rsidRPr="00417ED3">
        <w:rPr>
          <w:rFonts w:cstheme="minorHAnsi"/>
          <w:b/>
          <w:bCs/>
        </w:rPr>
        <w:t xml:space="preserve">najmanj </w:t>
      </w:r>
      <w:r w:rsidR="001B0047">
        <w:rPr>
          <w:rFonts w:cstheme="minorHAnsi"/>
          <w:b/>
          <w:bCs/>
        </w:rPr>
        <w:t>2</w:t>
      </w:r>
      <w:r w:rsidRPr="00417ED3">
        <w:rPr>
          <w:rFonts w:cstheme="minorHAnsi"/>
          <w:b/>
          <w:bCs/>
        </w:rPr>
        <w:t xml:space="preserve"> do največ 12 mesecev</w:t>
      </w:r>
      <w:r w:rsidRPr="00417ED3">
        <w:rPr>
          <w:rFonts w:cstheme="minorHAnsi"/>
        </w:rPr>
        <w:t>.</w:t>
      </w:r>
      <w:r w:rsidR="00AB0C9A" w:rsidRPr="00417ED3">
        <w:rPr>
          <w:rFonts w:cstheme="minorHAnsi"/>
        </w:rPr>
        <w:t xml:space="preserve"> </w:t>
      </w:r>
    </w:p>
    <w:p w14:paraId="00EFE66C" w14:textId="77777777" w:rsidR="00AB0C9A" w:rsidRPr="00417ED3" w:rsidRDefault="00AB0C9A" w:rsidP="00417ED3">
      <w:pPr>
        <w:spacing w:after="0" w:line="240" w:lineRule="auto"/>
        <w:jc w:val="both"/>
        <w:rPr>
          <w:rFonts w:cstheme="minorHAnsi"/>
        </w:rPr>
      </w:pPr>
    </w:p>
    <w:p w14:paraId="7076FB4A" w14:textId="4B790BB5" w:rsidR="00632B0E" w:rsidRPr="00417ED3" w:rsidRDefault="000C2E3A" w:rsidP="00417ED3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 xml:space="preserve">Program Erasmus+ študentu omogoča, da del študijskih obveznosti namesto na matični </w:t>
      </w:r>
      <w:r w:rsidR="00957110">
        <w:rPr>
          <w:rFonts w:cstheme="minorHAnsi"/>
        </w:rPr>
        <w:t xml:space="preserve">visoki šoli </w:t>
      </w:r>
      <w:r w:rsidRPr="00417ED3">
        <w:rPr>
          <w:rFonts w:cstheme="minorHAnsi"/>
        </w:rPr>
        <w:t xml:space="preserve">opravi na partnerski instituciji v tujini. </w:t>
      </w:r>
    </w:p>
    <w:p w14:paraId="2B3F7032" w14:textId="77777777" w:rsidR="00CB0C11" w:rsidRPr="00417ED3" w:rsidRDefault="00CB0C11" w:rsidP="00417ED3">
      <w:pPr>
        <w:spacing w:after="0" w:line="240" w:lineRule="auto"/>
        <w:jc w:val="both"/>
        <w:rPr>
          <w:rFonts w:cstheme="minorHAnsi"/>
        </w:rPr>
      </w:pPr>
    </w:p>
    <w:p w14:paraId="0906EF4A" w14:textId="3068B4EB" w:rsidR="00B85876" w:rsidRPr="00957110" w:rsidRDefault="00CB0C11" w:rsidP="00957110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>Pred začetkom mobilnosti mora</w:t>
      </w:r>
      <w:r w:rsidR="00957110">
        <w:rPr>
          <w:rFonts w:cstheme="minorHAnsi"/>
        </w:rPr>
        <w:t>ta biti</w:t>
      </w:r>
      <w:r w:rsidRPr="00417ED3">
        <w:rPr>
          <w:rFonts w:cstheme="minorHAnsi"/>
        </w:rPr>
        <w:t xml:space="preserve"> </w:t>
      </w:r>
      <w:r w:rsidR="008755EE" w:rsidRPr="00957110">
        <w:rPr>
          <w:rFonts w:cstheme="minorHAnsi"/>
        </w:rPr>
        <w:t xml:space="preserve">med </w:t>
      </w:r>
      <w:r w:rsidR="0045697E">
        <w:rPr>
          <w:rFonts w:cstheme="minorHAnsi"/>
        </w:rPr>
        <w:t xml:space="preserve">B2 </w:t>
      </w:r>
      <w:r w:rsidR="00B7629C" w:rsidRPr="00957110">
        <w:rPr>
          <w:rFonts w:cstheme="minorHAnsi"/>
        </w:rPr>
        <w:t>VŠPV</w:t>
      </w:r>
      <w:r w:rsidR="00297BDC" w:rsidRPr="00957110">
        <w:rPr>
          <w:rFonts w:cstheme="minorHAnsi"/>
        </w:rPr>
        <w:t>, partnersko šolo in udeležencem mobilnosti sklenjen</w:t>
      </w:r>
      <w:r w:rsidR="00957110">
        <w:rPr>
          <w:rFonts w:cstheme="minorHAnsi"/>
        </w:rPr>
        <w:t>a</w:t>
      </w:r>
      <w:r w:rsidR="00297BDC" w:rsidRPr="00957110">
        <w:rPr>
          <w:rFonts w:cstheme="minorHAnsi"/>
        </w:rPr>
        <w:t xml:space="preserve"> </w:t>
      </w:r>
      <w:r w:rsidR="00297BDC" w:rsidRPr="00957110">
        <w:rPr>
          <w:rFonts w:cstheme="minorHAnsi"/>
          <w:b/>
        </w:rPr>
        <w:t>študijski sporazum</w:t>
      </w:r>
      <w:r w:rsidR="00297BDC" w:rsidRPr="00957110">
        <w:rPr>
          <w:rFonts w:cstheme="minorHAnsi"/>
        </w:rPr>
        <w:t xml:space="preserve"> (</w:t>
      </w:r>
      <w:proofErr w:type="spellStart"/>
      <w:r w:rsidR="00297BDC" w:rsidRPr="00957110">
        <w:rPr>
          <w:rFonts w:cstheme="minorHAnsi"/>
        </w:rPr>
        <w:t>Learning</w:t>
      </w:r>
      <w:proofErr w:type="spellEnd"/>
      <w:r w:rsidR="00297BDC" w:rsidRPr="00957110">
        <w:rPr>
          <w:rFonts w:cstheme="minorHAnsi"/>
        </w:rPr>
        <w:t xml:space="preserve"> </w:t>
      </w:r>
      <w:proofErr w:type="spellStart"/>
      <w:r w:rsidR="00297BDC" w:rsidRPr="00957110">
        <w:rPr>
          <w:rFonts w:cstheme="minorHAnsi"/>
        </w:rPr>
        <w:t>Agreement</w:t>
      </w:r>
      <w:proofErr w:type="spellEnd"/>
      <w:r w:rsidR="00297BDC" w:rsidRPr="00957110">
        <w:rPr>
          <w:rFonts w:cstheme="minorHAnsi"/>
        </w:rPr>
        <w:t xml:space="preserve"> – </w:t>
      </w:r>
      <w:proofErr w:type="spellStart"/>
      <w:r w:rsidR="00297BDC" w:rsidRPr="00957110">
        <w:rPr>
          <w:rFonts w:cstheme="minorHAnsi"/>
        </w:rPr>
        <w:t>Student</w:t>
      </w:r>
      <w:proofErr w:type="spellEnd"/>
      <w:r w:rsidR="00297BDC" w:rsidRPr="00957110">
        <w:rPr>
          <w:rFonts w:cstheme="minorHAnsi"/>
        </w:rPr>
        <w:t xml:space="preserve"> Mobility for Studies)</w:t>
      </w:r>
      <w:r w:rsidR="00957110">
        <w:rPr>
          <w:rFonts w:cstheme="minorHAnsi"/>
        </w:rPr>
        <w:t xml:space="preserve"> ter </w:t>
      </w:r>
      <w:r w:rsidR="00957110" w:rsidRPr="00957110">
        <w:rPr>
          <w:rFonts w:cstheme="minorHAnsi"/>
          <w:b/>
          <w:bCs/>
        </w:rPr>
        <w:t>sporazum o dotaciji</w:t>
      </w:r>
      <w:r w:rsidR="00957110">
        <w:rPr>
          <w:rFonts w:cstheme="minorHAnsi"/>
        </w:rPr>
        <w:t xml:space="preserve">, ki je sklenjen med </w:t>
      </w:r>
      <w:r w:rsidR="0045697E">
        <w:rPr>
          <w:rFonts w:cstheme="minorHAnsi"/>
        </w:rPr>
        <w:t xml:space="preserve">B2 </w:t>
      </w:r>
      <w:r w:rsidR="00957110" w:rsidRPr="00957110">
        <w:rPr>
          <w:rFonts w:cstheme="minorHAnsi"/>
        </w:rPr>
        <w:t>VŠPV in udeležencem mobilnosti</w:t>
      </w:r>
      <w:r w:rsidR="00957110">
        <w:rPr>
          <w:rFonts w:cstheme="minorHAnsi"/>
        </w:rPr>
        <w:t>.</w:t>
      </w:r>
    </w:p>
    <w:p w14:paraId="2D5AB44D" w14:textId="15258F64" w:rsidR="00395070" w:rsidRDefault="00395070" w:rsidP="00417ED3">
      <w:pPr>
        <w:spacing w:after="0" w:line="240" w:lineRule="auto"/>
        <w:jc w:val="both"/>
        <w:rPr>
          <w:rFonts w:cstheme="minorHAnsi"/>
        </w:rPr>
      </w:pPr>
    </w:p>
    <w:p w14:paraId="1A665AEB" w14:textId="55004EC6" w:rsidR="00417ED3" w:rsidRPr="00417ED3" w:rsidRDefault="00417ED3" w:rsidP="00417ED3">
      <w:pPr>
        <w:spacing w:after="0" w:line="240" w:lineRule="auto"/>
        <w:jc w:val="both"/>
        <w:rPr>
          <w:rFonts w:cstheme="minorHAnsi"/>
          <w:b/>
        </w:rPr>
      </w:pPr>
      <w:r w:rsidRPr="00417ED3">
        <w:rPr>
          <w:rFonts w:cstheme="minorHAnsi"/>
          <w:b/>
        </w:rPr>
        <w:t xml:space="preserve">Cilji mobilnosti za namen študija </w:t>
      </w:r>
      <w:r w:rsidR="00533794">
        <w:rPr>
          <w:rFonts w:cstheme="minorHAnsi"/>
          <w:b/>
        </w:rPr>
        <w:t xml:space="preserve">in prakse </w:t>
      </w:r>
      <w:r w:rsidRPr="00417ED3">
        <w:rPr>
          <w:rFonts w:cstheme="minorHAnsi"/>
          <w:b/>
        </w:rPr>
        <w:t>so:</w:t>
      </w:r>
    </w:p>
    <w:p w14:paraId="63BAAE61" w14:textId="2477BFB8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 xml:space="preserve">izboljšanje učnih </w:t>
      </w:r>
      <w:r w:rsidR="00533794">
        <w:rPr>
          <w:rFonts w:cstheme="minorHAnsi"/>
        </w:rPr>
        <w:t xml:space="preserve">in zaposlitvenih </w:t>
      </w:r>
      <w:r w:rsidRPr="00417ED3">
        <w:rPr>
          <w:rFonts w:cstheme="minorHAnsi"/>
        </w:rPr>
        <w:t>kompetenc študentov,</w:t>
      </w:r>
    </w:p>
    <w:p w14:paraId="0BC0A43F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povečanje zaposljivosti in možnosti zaposlitve bodočih diplomantov,</w:t>
      </w:r>
    </w:p>
    <w:p w14:paraId="7869B2AA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povečanje iniciativnosti in podjetništva,</w:t>
      </w:r>
    </w:p>
    <w:p w14:paraId="09F8234A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povečanje samozavesti in samospoštovanja,</w:t>
      </w:r>
    </w:p>
    <w:p w14:paraId="0F6E875B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izboljšanje jezikovnih sposobnosti,</w:t>
      </w:r>
    </w:p>
    <w:p w14:paraId="1E4B6DC0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povečanje in okrepitev medkulturne zavesti,</w:t>
      </w:r>
    </w:p>
    <w:p w14:paraId="4EBE215C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aktivnejše sodelovanje v družbi,</w:t>
      </w:r>
    </w:p>
    <w:p w14:paraId="6F12B29E" w14:textId="77777777" w:rsidR="00417ED3" w:rsidRP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boljše poznavanje EU projektov in EU vrednot,</w:t>
      </w:r>
    </w:p>
    <w:p w14:paraId="3B5B3C54" w14:textId="014392C0" w:rsidR="00417ED3" w:rsidRDefault="00417ED3" w:rsidP="00417ED3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417ED3">
        <w:rPr>
          <w:rFonts w:cstheme="minorHAnsi"/>
        </w:rPr>
        <w:t>povečanje motiviranosti za nadaljnje izobraževanje (formalno in neformalno) in usposabljanje po opravljeni mobilnosti</w:t>
      </w:r>
      <w:r w:rsidR="002B264B">
        <w:rPr>
          <w:rFonts w:cstheme="minorHAnsi"/>
        </w:rPr>
        <w:t>,</w:t>
      </w:r>
    </w:p>
    <w:p w14:paraId="166B274E" w14:textId="77777777" w:rsidR="002B264B" w:rsidRDefault="002B264B" w:rsidP="002B264B">
      <w:pPr>
        <w:numPr>
          <w:ilvl w:val="0"/>
          <w:numId w:val="3"/>
        </w:numPr>
        <w:spacing w:after="0" w:line="240" w:lineRule="auto"/>
        <w:ind w:left="714" w:hanging="357"/>
        <w:jc w:val="both"/>
      </w:pPr>
      <w:r>
        <w:t>doprinos k trajnostnim praksam,</w:t>
      </w:r>
    </w:p>
    <w:p w14:paraId="6EE30607" w14:textId="59137549" w:rsidR="002B264B" w:rsidRPr="002B264B" w:rsidRDefault="002B264B" w:rsidP="002B264B">
      <w:pPr>
        <w:numPr>
          <w:ilvl w:val="0"/>
          <w:numId w:val="3"/>
        </w:numPr>
        <w:spacing w:after="0" w:line="240" w:lineRule="auto"/>
        <w:ind w:left="714" w:hanging="357"/>
        <w:jc w:val="both"/>
      </w:pPr>
      <w:r>
        <w:t>spodbujanje inkluzije in nediskriminacije.</w:t>
      </w:r>
    </w:p>
    <w:p w14:paraId="5CFABE60" w14:textId="77777777" w:rsidR="00417ED3" w:rsidRPr="00417ED3" w:rsidRDefault="00417ED3" w:rsidP="00417ED3">
      <w:pPr>
        <w:spacing w:after="0" w:line="240" w:lineRule="auto"/>
        <w:jc w:val="both"/>
        <w:rPr>
          <w:rFonts w:cstheme="minorHAnsi"/>
        </w:rPr>
      </w:pPr>
    </w:p>
    <w:p w14:paraId="7DE780EE" w14:textId="6C0B2E02" w:rsidR="002B264B" w:rsidRDefault="00417ED3" w:rsidP="00DA24B3">
      <w:pPr>
        <w:rPr>
          <w:rFonts w:cstheme="minorHAnsi"/>
        </w:rPr>
      </w:pPr>
      <w:r>
        <w:rPr>
          <w:rFonts w:cstheme="minorHAnsi"/>
        </w:rPr>
        <w:br w:type="page"/>
      </w:r>
    </w:p>
    <w:p w14:paraId="3611CDF1" w14:textId="38E23F43" w:rsidR="00B7629C" w:rsidRPr="00417ED3" w:rsidRDefault="00533794" w:rsidP="00417ED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 zadevnem projektu so lahko študenti vključeni v Erasmus mobilnost z institucijami iz naslednjih partnerskih držav – glejte </w:t>
      </w:r>
      <w:r w:rsidR="00B7629C" w:rsidRPr="00417ED3">
        <w:rPr>
          <w:rFonts w:cstheme="minorHAnsi"/>
        </w:rPr>
        <w:t>Tabel</w:t>
      </w:r>
      <w:r w:rsidR="00953E4D">
        <w:rPr>
          <w:rFonts w:cstheme="minorHAnsi"/>
        </w:rPr>
        <w:t>i</w:t>
      </w:r>
      <w:r w:rsidR="00B7629C" w:rsidRPr="00417ED3">
        <w:rPr>
          <w:rFonts w:cstheme="minorHAnsi"/>
        </w:rPr>
        <w:t xml:space="preserve"> 1</w:t>
      </w:r>
      <w:r w:rsidR="00953E4D">
        <w:rPr>
          <w:rFonts w:cstheme="minorHAnsi"/>
        </w:rPr>
        <w:t xml:space="preserve"> in 2</w:t>
      </w:r>
      <w:r>
        <w:rPr>
          <w:rFonts w:cstheme="minorHAnsi"/>
        </w:rPr>
        <w:t>.</w:t>
      </w:r>
    </w:p>
    <w:p w14:paraId="6B4091EF" w14:textId="77777777" w:rsidR="00395070" w:rsidRPr="00417ED3" w:rsidRDefault="00395070" w:rsidP="00417ED3">
      <w:pPr>
        <w:spacing w:after="0" w:line="240" w:lineRule="auto"/>
        <w:jc w:val="both"/>
        <w:rPr>
          <w:rFonts w:cstheme="minorHAnsi"/>
        </w:rPr>
      </w:pPr>
    </w:p>
    <w:p w14:paraId="182E6609" w14:textId="3651BF49" w:rsidR="00B7629C" w:rsidRPr="00953E4D" w:rsidRDefault="00395070" w:rsidP="00620891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953E4D">
        <w:rPr>
          <w:rFonts w:cstheme="minorHAnsi"/>
          <w:sz w:val="18"/>
          <w:szCs w:val="18"/>
        </w:rPr>
        <w:t xml:space="preserve">Tabela 1: Seznam odobrenih držav in mobilnosti na </w:t>
      </w:r>
      <w:r w:rsidR="00953E4D" w:rsidRPr="00953E4D">
        <w:rPr>
          <w:rFonts w:cstheme="minorHAnsi"/>
          <w:sz w:val="18"/>
          <w:szCs w:val="18"/>
        </w:rPr>
        <w:t xml:space="preserve">B2 </w:t>
      </w:r>
      <w:r w:rsidRPr="00953E4D">
        <w:rPr>
          <w:rFonts w:cstheme="minorHAnsi"/>
          <w:sz w:val="18"/>
          <w:szCs w:val="18"/>
        </w:rPr>
        <w:t>VŠPV</w:t>
      </w:r>
      <w:r w:rsidR="00953E4D" w:rsidRPr="00953E4D">
        <w:rPr>
          <w:rFonts w:cstheme="minorHAnsi"/>
          <w:sz w:val="18"/>
          <w:szCs w:val="18"/>
        </w:rPr>
        <w:t xml:space="preserve"> (razpis 2023)</w:t>
      </w:r>
      <w:r w:rsidRPr="00953E4D">
        <w:rPr>
          <w:rFonts w:cstheme="minorHAnsi"/>
          <w:sz w:val="18"/>
          <w:szCs w:val="18"/>
        </w:rPr>
        <w:t>.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0"/>
        <w:gridCol w:w="1086"/>
      </w:tblGrid>
      <w:tr w:rsidR="00533794" w:rsidRPr="00953E4D" w14:paraId="74109670" w14:textId="77777777" w:rsidTr="00620891">
        <w:trPr>
          <w:trHeight w:val="539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  <w:hideMark/>
          </w:tcPr>
          <w:p w14:paraId="6FF6665C" w14:textId="6D214043" w:rsidR="00533794" w:rsidRPr="00953E4D" w:rsidRDefault="002B264B" w:rsidP="002B264B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D</w:t>
            </w:r>
            <w:r w:rsidR="00533794" w:rsidRPr="00953E4D">
              <w:rPr>
                <w:rFonts w:eastAsia="Times New Roman" w:cstheme="minorHAnsi"/>
                <w:color w:val="000000"/>
                <w:lang w:eastAsia="sl-SI"/>
              </w:rPr>
              <w:t>ržava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  <w:hideMark/>
          </w:tcPr>
          <w:p w14:paraId="7DA65015" w14:textId="77777777" w:rsidR="00533794" w:rsidRPr="00953E4D" w:rsidRDefault="00533794" w:rsidP="002B26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odhodna mobilnost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  <w:hideMark/>
          </w:tcPr>
          <w:p w14:paraId="705B27BE" w14:textId="4C1DDF9E" w:rsidR="00533794" w:rsidRPr="00953E4D" w:rsidRDefault="00533794" w:rsidP="002B26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trajanje (meseci)</w:t>
            </w:r>
          </w:p>
        </w:tc>
      </w:tr>
      <w:tr w:rsidR="00533794" w:rsidRPr="00953E4D" w14:paraId="69212FC3" w14:textId="77777777" w:rsidTr="00620891">
        <w:trPr>
          <w:trHeight w:val="345"/>
          <w:jc w:val="center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B682E9D" w14:textId="2C0E73ED" w:rsidR="00533794" w:rsidRPr="00953E4D" w:rsidRDefault="00533794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 xml:space="preserve">Bosna in Hercegovina 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635A63F" w14:textId="0A1A3D37" w:rsidR="00533794" w:rsidRPr="00953E4D" w:rsidRDefault="00953E4D" w:rsidP="002B26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2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6337A77C" w14:textId="4A7CF4F8" w:rsidR="00533794" w:rsidRPr="00953E4D" w:rsidRDefault="002B264B" w:rsidP="002B26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953E4D">
              <w:rPr>
                <w:rFonts w:eastAsia="Times New Roman" w:cstheme="minorHAnsi"/>
                <w:color w:val="000000"/>
                <w:lang w:eastAsia="sl-SI"/>
              </w:rPr>
              <w:t xml:space="preserve">–4 </w:t>
            </w:r>
          </w:p>
        </w:tc>
      </w:tr>
      <w:tr w:rsidR="002B264B" w:rsidRPr="00417ED3" w14:paraId="481EF201" w14:textId="77777777" w:rsidTr="00620891">
        <w:trPr>
          <w:trHeight w:val="345"/>
          <w:jc w:val="center"/>
        </w:trPr>
        <w:tc>
          <w:tcPr>
            <w:tcW w:w="3823" w:type="dxa"/>
            <w:shd w:val="clear" w:color="auto" w:fill="auto"/>
            <w:noWrap/>
            <w:vAlign w:val="bottom"/>
          </w:tcPr>
          <w:p w14:paraId="2CCFF02A" w14:textId="5BE254FF" w:rsidR="002B264B" w:rsidRPr="00953E4D" w:rsidRDefault="002B264B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Črna gora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403D3B66" w14:textId="2FD82E8F" w:rsidR="002B264B" w:rsidRPr="00953E4D" w:rsidRDefault="00953E4D" w:rsidP="002B26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081C7E1E" w14:textId="07C5A0F9" w:rsidR="002B264B" w:rsidRPr="00953E4D" w:rsidRDefault="002B264B" w:rsidP="002B264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953E4D">
              <w:rPr>
                <w:rFonts w:eastAsia="Times New Roman" w:cstheme="minorHAnsi"/>
                <w:color w:val="000000"/>
                <w:lang w:eastAsia="sl-SI"/>
              </w:rPr>
              <w:t>3</w:t>
            </w:r>
            <w:r w:rsidR="00953E4D">
              <w:rPr>
                <w:rFonts w:eastAsia="Times New Roman" w:cstheme="minorHAnsi"/>
                <w:color w:val="000000"/>
                <w:lang w:eastAsia="sl-SI"/>
              </w:rPr>
              <w:t>–4</w:t>
            </w:r>
          </w:p>
        </w:tc>
      </w:tr>
    </w:tbl>
    <w:p w14:paraId="1F29BBDF" w14:textId="1F192ADD" w:rsidR="00417ED3" w:rsidRDefault="00417ED3" w:rsidP="00417ED3">
      <w:pPr>
        <w:spacing w:after="0" w:line="240" w:lineRule="auto"/>
        <w:jc w:val="both"/>
        <w:rPr>
          <w:rFonts w:cstheme="minorHAnsi"/>
          <w:i/>
          <w:iCs/>
        </w:rPr>
      </w:pPr>
    </w:p>
    <w:p w14:paraId="2ED50D16" w14:textId="77777777" w:rsidR="00953E4D" w:rsidRDefault="00953E4D" w:rsidP="00417ED3">
      <w:pPr>
        <w:spacing w:after="0" w:line="240" w:lineRule="auto"/>
        <w:jc w:val="both"/>
        <w:rPr>
          <w:rFonts w:cstheme="minorHAnsi"/>
          <w:i/>
          <w:iCs/>
        </w:rPr>
      </w:pPr>
    </w:p>
    <w:p w14:paraId="34358471" w14:textId="62867A7A" w:rsidR="00953E4D" w:rsidRPr="0045697E" w:rsidRDefault="00953E4D" w:rsidP="00953E4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45697E">
        <w:rPr>
          <w:rFonts w:cstheme="minorHAnsi"/>
          <w:sz w:val="18"/>
          <w:szCs w:val="18"/>
        </w:rPr>
        <w:t>Tabela 2: Seznam odobrenih držav in mobilnosti na B2 VŠPV (razpis 2024).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0"/>
        <w:gridCol w:w="1086"/>
      </w:tblGrid>
      <w:tr w:rsidR="00953E4D" w:rsidRPr="0045697E" w14:paraId="6F5291BF" w14:textId="77777777" w:rsidTr="00A74E01">
        <w:trPr>
          <w:trHeight w:val="539"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  <w:hideMark/>
          </w:tcPr>
          <w:p w14:paraId="0426C4E9" w14:textId="77777777" w:rsidR="00953E4D" w:rsidRPr="0045697E" w:rsidRDefault="00953E4D" w:rsidP="00A74E01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Država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  <w:hideMark/>
          </w:tcPr>
          <w:p w14:paraId="5E5CDAA9" w14:textId="77777777" w:rsidR="00953E4D" w:rsidRPr="0045697E" w:rsidRDefault="00953E4D" w:rsidP="00A74E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odhodna mobilnost</w:t>
            </w:r>
          </w:p>
        </w:tc>
        <w:tc>
          <w:tcPr>
            <w:tcW w:w="1086" w:type="dxa"/>
            <w:shd w:val="clear" w:color="auto" w:fill="BFBFBF" w:themeFill="background1" w:themeFillShade="BF"/>
            <w:vAlign w:val="center"/>
            <w:hideMark/>
          </w:tcPr>
          <w:p w14:paraId="2B3D7231" w14:textId="77777777" w:rsidR="00953E4D" w:rsidRPr="0045697E" w:rsidRDefault="00953E4D" w:rsidP="00A74E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trajanje (meseci)</w:t>
            </w:r>
          </w:p>
        </w:tc>
      </w:tr>
      <w:tr w:rsidR="00953E4D" w:rsidRPr="00417ED3" w14:paraId="578222A9" w14:textId="77777777" w:rsidTr="00953E4D">
        <w:trPr>
          <w:trHeight w:val="345"/>
          <w:jc w:val="center"/>
        </w:trPr>
        <w:tc>
          <w:tcPr>
            <w:tcW w:w="3823" w:type="dxa"/>
            <w:shd w:val="clear" w:color="auto" w:fill="auto"/>
            <w:noWrap/>
            <w:vAlign w:val="bottom"/>
          </w:tcPr>
          <w:p w14:paraId="4DAE4552" w14:textId="68F1415C" w:rsidR="00953E4D" w:rsidRPr="0045697E" w:rsidRDefault="0045697E" w:rsidP="00A74E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Z</w:t>
            </w:r>
            <w:r>
              <w:rPr>
                <w:rFonts w:eastAsia="Times New Roman" w:cstheme="minorHAnsi"/>
                <w:color w:val="000000"/>
                <w:lang w:eastAsia="sl-SI"/>
              </w:rPr>
              <w:t>druženi Arabski Emirati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1A63B39" w14:textId="278473DC" w:rsidR="00953E4D" w:rsidRPr="0045697E" w:rsidRDefault="0045697E" w:rsidP="00A74E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513ACAC7" w14:textId="35BEDA4C" w:rsidR="00953E4D" w:rsidRPr="0045697E" w:rsidRDefault="0045697E" w:rsidP="00A74E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3–4</w:t>
            </w:r>
          </w:p>
        </w:tc>
      </w:tr>
    </w:tbl>
    <w:p w14:paraId="238E1363" w14:textId="77777777" w:rsidR="00417ED3" w:rsidRDefault="00417ED3" w:rsidP="00417ED3">
      <w:pPr>
        <w:spacing w:after="0" w:line="240" w:lineRule="auto"/>
        <w:jc w:val="both"/>
        <w:rPr>
          <w:rFonts w:cstheme="minorHAnsi"/>
          <w:i/>
          <w:iCs/>
        </w:rPr>
      </w:pPr>
    </w:p>
    <w:p w14:paraId="39EF8106" w14:textId="77777777" w:rsidR="00953E4D" w:rsidRPr="00417ED3" w:rsidRDefault="00953E4D" w:rsidP="00417ED3">
      <w:pPr>
        <w:spacing w:after="0" w:line="240" w:lineRule="auto"/>
        <w:jc w:val="both"/>
        <w:rPr>
          <w:rFonts w:cstheme="minorHAnsi"/>
          <w:i/>
          <w:iCs/>
        </w:rPr>
      </w:pPr>
    </w:p>
    <w:p w14:paraId="521DF519" w14:textId="1505BA9E" w:rsidR="00353773" w:rsidRPr="00DA24B3" w:rsidRDefault="00395070" w:rsidP="00417ED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Finančna</w:t>
      </w:r>
      <w:r w:rsidR="00353773" w:rsidRPr="00DA24B3">
        <w:rPr>
          <w:rFonts w:cstheme="minorHAnsi"/>
          <w:szCs w:val="28"/>
        </w:rPr>
        <w:t xml:space="preserve"> dotacij</w:t>
      </w:r>
      <w:r w:rsidRPr="00DA24B3">
        <w:rPr>
          <w:rFonts w:cstheme="minorHAnsi"/>
          <w:szCs w:val="28"/>
        </w:rPr>
        <w:t>a</w:t>
      </w:r>
    </w:p>
    <w:p w14:paraId="43E36834" w14:textId="77777777" w:rsidR="00417ED3" w:rsidRDefault="00417ED3" w:rsidP="00417ED3">
      <w:pPr>
        <w:spacing w:after="0" w:line="240" w:lineRule="auto"/>
        <w:jc w:val="both"/>
        <w:rPr>
          <w:rFonts w:cstheme="minorHAnsi"/>
        </w:rPr>
      </w:pPr>
    </w:p>
    <w:p w14:paraId="23406256" w14:textId="7189CDDE" w:rsidR="00353773" w:rsidRDefault="00353773" w:rsidP="00417ED3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>Izbranemu kandidatu oz. udeležencu mobilnosti bo odobrena dotacija za namen kritja stroškov poti in stroškov bivanja</w:t>
      </w:r>
      <w:r w:rsidR="008126BD" w:rsidRPr="00417ED3">
        <w:rPr>
          <w:rFonts w:cstheme="minorHAnsi"/>
        </w:rPr>
        <w:t xml:space="preserve">, </w:t>
      </w:r>
      <w:r w:rsidRPr="00417ED3">
        <w:rPr>
          <w:rFonts w:cstheme="minorHAnsi"/>
        </w:rPr>
        <w:t xml:space="preserve">pri čemer se za končno izplačilo </w:t>
      </w:r>
      <w:r w:rsidR="00B535CB">
        <w:rPr>
          <w:rFonts w:cstheme="minorHAnsi"/>
        </w:rPr>
        <w:t xml:space="preserve">stroškov poti </w:t>
      </w:r>
      <w:r w:rsidRPr="00417ED3">
        <w:rPr>
          <w:rFonts w:cstheme="minorHAnsi"/>
        </w:rPr>
        <w:t>upoštevajo dejansko nastali upravičeni stroški, razvidni iz</w:t>
      </w:r>
      <w:r w:rsidR="00395070" w:rsidRPr="00417ED3">
        <w:rPr>
          <w:rFonts w:cstheme="minorHAnsi"/>
        </w:rPr>
        <w:t xml:space="preserve"> </w:t>
      </w:r>
      <w:r w:rsidRPr="00417ED3">
        <w:rPr>
          <w:rFonts w:cstheme="minorHAnsi"/>
        </w:rPr>
        <w:t xml:space="preserve">predloženih računov. </w:t>
      </w:r>
    </w:p>
    <w:p w14:paraId="156EA553" w14:textId="77777777" w:rsidR="00953E4D" w:rsidRDefault="00953E4D" w:rsidP="00417ED3">
      <w:pPr>
        <w:spacing w:after="0" w:line="240" w:lineRule="auto"/>
        <w:jc w:val="both"/>
        <w:rPr>
          <w:rFonts w:cstheme="minorHAnsi"/>
        </w:rPr>
      </w:pPr>
    </w:p>
    <w:p w14:paraId="137F4B2F" w14:textId="77777777" w:rsidR="00AA189E" w:rsidRDefault="00AA189E" w:rsidP="00417ED3">
      <w:pPr>
        <w:spacing w:after="0" w:line="240" w:lineRule="auto"/>
        <w:jc w:val="both"/>
        <w:rPr>
          <w:rFonts w:cstheme="minorHAnsi"/>
        </w:rPr>
      </w:pPr>
    </w:p>
    <w:p w14:paraId="09085519" w14:textId="540FF445" w:rsidR="00AA189E" w:rsidRDefault="00AA189E" w:rsidP="00AA189E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</w:rPr>
      </w:pPr>
      <w:r w:rsidRPr="00AA189E">
        <w:rPr>
          <w:rFonts w:cstheme="minorHAnsi"/>
          <w:b/>
          <w:bCs/>
        </w:rPr>
        <w:t xml:space="preserve">Mesečna dotacija oz. štipendija </w:t>
      </w:r>
    </w:p>
    <w:p w14:paraId="00217B33" w14:textId="77777777" w:rsidR="00AA189E" w:rsidRDefault="00AA189E" w:rsidP="00AA189E">
      <w:pPr>
        <w:spacing w:after="0" w:line="240" w:lineRule="auto"/>
        <w:jc w:val="both"/>
        <w:rPr>
          <w:rFonts w:cstheme="minorHAnsi"/>
        </w:rPr>
      </w:pPr>
    </w:p>
    <w:p w14:paraId="25382D58" w14:textId="67C3FC45" w:rsidR="00AA189E" w:rsidRPr="00AA189E" w:rsidRDefault="00AA189E" w:rsidP="00AA189E">
      <w:pPr>
        <w:spacing w:after="0" w:line="240" w:lineRule="auto"/>
        <w:jc w:val="both"/>
        <w:rPr>
          <w:rFonts w:cstheme="minorHAnsi"/>
        </w:rPr>
      </w:pPr>
      <w:r w:rsidRPr="00AA189E">
        <w:rPr>
          <w:rFonts w:cstheme="minorHAnsi"/>
        </w:rPr>
        <w:t xml:space="preserve">Študenti so upravičeni do </w:t>
      </w:r>
      <w:r w:rsidRPr="00AA189E">
        <w:rPr>
          <w:rFonts w:cstheme="minorHAnsi"/>
          <w:b/>
          <w:bCs/>
        </w:rPr>
        <w:t>dotacije oz. štipendije</w:t>
      </w:r>
      <w:r w:rsidRPr="00AA189E">
        <w:rPr>
          <w:rFonts w:cstheme="minorHAnsi"/>
        </w:rPr>
        <w:t xml:space="preserve"> v mesečnem znesku, razvidnem iz Tabele </w:t>
      </w:r>
      <w:r>
        <w:rPr>
          <w:rFonts w:cstheme="minorHAnsi"/>
        </w:rPr>
        <w:t>2</w:t>
      </w:r>
      <w:r w:rsidRPr="00AA189E">
        <w:rPr>
          <w:rFonts w:cstheme="minorHAnsi"/>
        </w:rPr>
        <w:t>.</w:t>
      </w:r>
    </w:p>
    <w:p w14:paraId="1EC8D61F" w14:textId="77777777" w:rsidR="00AA189E" w:rsidRPr="00AA189E" w:rsidRDefault="00AA189E" w:rsidP="00AA189E">
      <w:pPr>
        <w:spacing w:after="0" w:line="240" w:lineRule="auto"/>
        <w:jc w:val="both"/>
        <w:rPr>
          <w:rFonts w:cstheme="minorHAnsi"/>
          <w:b/>
          <w:bCs/>
        </w:rPr>
      </w:pPr>
    </w:p>
    <w:p w14:paraId="233AE494" w14:textId="3EB9F332" w:rsidR="00AA189E" w:rsidRPr="00417ED3" w:rsidRDefault="00AA189E" w:rsidP="00AA189E">
      <w:pPr>
        <w:keepNext/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  <w:sz w:val="18"/>
          <w:szCs w:val="18"/>
        </w:rPr>
        <w:t>Tab</w:t>
      </w:r>
      <w:r>
        <w:rPr>
          <w:rFonts w:cstheme="minorHAnsi"/>
          <w:sz w:val="18"/>
          <w:szCs w:val="18"/>
        </w:rPr>
        <w:t xml:space="preserve">ela </w:t>
      </w:r>
      <w:r w:rsidR="00953E4D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>: Višina mesečne dotacije oz. štipe</w:t>
      </w:r>
      <w:r w:rsidRPr="00417ED3">
        <w:rPr>
          <w:rFonts w:cstheme="minorHAnsi"/>
          <w:sz w:val="18"/>
          <w:szCs w:val="18"/>
        </w:rPr>
        <w:t>ndije</w:t>
      </w:r>
      <w:r w:rsidRPr="00417ED3">
        <w:rPr>
          <w:rFonts w:cstheme="minorHAnsi"/>
        </w:rPr>
        <w:t>.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2"/>
        <w:gridCol w:w="2680"/>
      </w:tblGrid>
      <w:tr w:rsidR="00AA189E" w:rsidRPr="00417ED3" w14:paraId="6571CA6E" w14:textId="77777777" w:rsidTr="00443FA4">
        <w:trPr>
          <w:trHeight w:val="345"/>
        </w:trPr>
        <w:tc>
          <w:tcPr>
            <w:tcW w:w="5112" w:type="dxa"/>
            <w:shd w:val="clear" w:color="auto" w:fill="BFBFBF" w:themeFill="background1" w:themeFillShade="BF"/>
            <w:noWrap/>
            <w:vAlign w:val="bottom"/>
            <w:hideMark/>
          </w:tcPr>
          <w:p w14:paraId="255FB970" w14:textId="77777777" w:rsidR="00AA189E" w:rsidRPr="00417ED3" w:rsidRDefault="00AA189E" w:rsidP="00443FA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17ED3">
              <w:rPr>
                <w:rFonts w:eastAsia="Times New Roman" w:cstheme="minorHAnsi"/>
                <w:color w:val="000000"/>
                <w:lang w:eastAsia="sl-SI"/>
              </w:rPr>
              <w:t>Oblika mobilnosti</w:t>
            </w:r>
          </w:p>
        </w:tc>
        <w:tc>
          <w:tcPr>
            <w:tcW w:w="2680" w:type="dxa"/>
            <w:shd w:val="clear" w:color="auto" w:fill="BFBFBF" w:themeFill="background1" w:themeFillShade="BF"/>
          </w:tcPr>
          <w:p w14:paraId="6459D5F3" w14:textId="77777777" w:rsidR="00AA189E" w:rsidRPr="00417ED3" w:rsidRDefault="00AA189E" w:rsidP="00443FA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17ED3">
              <w:rPr>
                <w:rFonts w:eastAsia="Times New Roman" w:cstheme="minorHAnsi"/>
                <w:color w:val="000000"/>
                <w:lang w:eastAsia="sl-SI"/>
              </w:rPr>
              <w:t>Dotacija na mesec</w:t>
            </w:r>
          </w:p>
        </w:tc>
      </w:tr>
      <w:tr w:rsidR="00AA189E" w:rsidRPr="00417ED3" w14:paraId="0492EA2B" w14:textId="77777777" w:rsidTr="00443FA4">
        <w:trPr>
          <w:trHeight w:val="345"/>
        </w:trPr>
        <w:tc>
          <w:tcPr>
            <w:tcW w:w="5112" w:type="dxa"/>
            <w:shd w:val="clear" w:color="auto" w:fill="auto"/>
            <w:noWrap/>
            <w:vAlign w:val="bottom"/>
          </w:tcPr>
          <w:p w14:paraId="1E0A967E" w14:textId="235BD8F4" w:rsidR="00953E4D" w:rsidRPr="0045697E" w:rsidRDefault="00AA189E" w:rsidP="00443FA4">
            <w:pPr>
              <w:spacing w:after="0" w:line="240" w:lineRule="auto"/>
              <w:jc w:val="both"/>
              <w:rPr>
                <w:rFonts w:cstheme="minorHAnsi"/>
              </w:rPr>
            </w:pPr>
            <w:r w:rsidRPr="0045697E">
              <w:rPr>
                <w:rFonts w:cstheme="minorHAnsi"/>
              </w:rPr>
              <w:t xml:space="preserve">Študentje </w:t>
            </w:r>
            <w:r w:rsidR="0045697E" w:rsidRPr="0045697E">
              <w:rPr>
                <w:rFonts w:cstheme="minorHAnsi"/>
              </w:rPr>
              <w:t xml:space="preserve">B2 </w:t>
            </w:r>
            <w:r w:rsidRPr="0045697E">
              <w:rPr>
                <w:rFonts w:cstheme="minorHAnsi"/>
              </w:rPr>
              <w:t>VŠPV, ki odhajajo na mobilnost v tujino</w:t>
            </w:r>
            <w:r w:rsidR="00953E4D" w:rsidRPr="0045697E">
              <w:rPr>
                <w:rFonts w:cstheme="minorHAnsi"/>
              </w:rPr>
              <w:t xml:space="preserve"> </w:t>
            </w:r>
          </w:p>
          <w:p w14:paraId="596FC12A" w14:textId="472347D0" w:rsidR="00AA189E" w:rsidRPr="0045697E" w:rsidRDefault="00953E4D" w:rsidP="00443FA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cstheme="minorHAnsi"/>
              </w:rPr>
              <w:t>(razpis</w:t>
            </w:r>
            <w:r w:rsidR="0045697E">
              <w:rPr>
                <w:rFonts w:cstheme="minorHAnsi"/>
              </w:rPr>
              <w:t>a</w:t>
            </w:r>
            <w:r w:rsidRPr="0045697E">
              <w:rPr>
                <w:rFonts w:cstheme="minorHAnsi"/>
              </w:rPr>
              <w:t xml:space="preserve"> 2023</w:t>
            </w:r>
            <w:r w:rsidR="0045697E">
              <w:rPr>
                <w:rFonts w:cstheme="minorHAnsi"/>
              </w:rPr>
              <w:t xml:space="preserve"> in 2024</w:t>
            </w:r>
            <w:r w:rsidRPr="0045697E">
              <w:rPr>
                <w:rFonts w:cstheme="minorHAnsi"/>
              </w:rPr>
              <w:t>)</w:t>
            </w:r>
          </w:p>
        </w:tc>
        <w:tc>
          <w:tcPr>
            <w:tcW w:w="2680" w:type="dxa"/>
          </w:tcPr>
          <w:p w14:paraId="2F5254FB" w14:textId="77777777" w:rsidR="00AA189E" w:rsidRPr="0045697E" w:rsidRDefault="00AA189E" w:rsidP="00443FA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700 eur</w:t>
            </w:r>
          </w:p>
        </w:tc>
      </w:tr>
    </w:tbl>
    <w:p w14:paraId="2098DBF4" w14:textId="3B9BC1E1" w:rsidR="00AA189E" w:rsidRPr="00417ED3" w:rsidRDefault="00AA189E" w:rsidP="00AA189E">
      <w:pPr>
        <w:tabs>
          <w:tab w:val="left" w:pos="1800"/>
        </w:tabs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ab/>
      </w:r>
    </w:p>
    <w:p w14:paraId="5ECB465F" w14:textId="77777777" w:rsidR="00AA189E" w:rsidRDefault="00AA189E" w:rsidP="00AA189E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>Do</w:t>
      </w:r>
      <w:r w:rsidRPr="00417ED3">
        <w:rPr>
          <w:rFonts w:cstheme="minorHAnsi"/>
          <w:b/>
          <w:bCs/>
        </w:rPr>
        <w:t xml:space="preserve"> dotacije za osebe s posebnimi potrebami</w:t>
      </w:r>
      <w:r w:rsidRPr="00417ED3">
        <w:rPr>
          <w:rFonts w:cstheme="minorHAnsi"/>
        </w:rPr>
        <w:t xml:space="preserve"> je upravičen morebitni udeleženec, katerega okoliščine, povezane s telesnim, duševnim ali zdravstvenim stanjem, so takšne, da njegova udeležba v projektu/ukrepu mobilnosti ne bi bila mogoča brez dodatne finančne podpore. </w:t>
      </w:r>
    </w:p>
    <w:p w14:paraId="37578EB1" w14:textId="77777777" w:rsidR="00AA189E" w:rsidRPr="00417ED3" w:rsidRDefault="00AA189E" w:rsidP="00AA189E">
      <w:pPr>
        <w:spacing w:after="0" w:line="240" w:lineRule="auto"/>
        <w:jc w:val="both"/>
        <w:rPr>
          <w:rFonts w:cstheme="minorHAnsi"/>
        </w:rPr>
      </w:pPr>
    </w:p>
    <w:p w14:paraId="3509F085" w14:textId="77777777" w:rsidR="00AA189E" w:rsidRDefault="00AA189E" w:rsidP="00AA189E">
      <w:pPr>
        <w:tabs>
          <w:tab w:val="left" w:pos="1800"/>
        </w:tabs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>Dotacija se ne sme dodeliti retrospektivno za aktivnosti, ki so se že končale v času oddaje vloge za dotacijo. Vsaka mobilnost je upravičena do dodelitve zgolj ene dotacije iz proračuna EU, ta ne sme biti namenjena ali uporabljena za ustvarjanje dobička prejemnika.</w:t>
      </w:r>
    </w:p>
    <w:p w14:paraId="3B9521A3" w14:textId="77777777" w:rsidR="00953E4D" w:rsidRDefault="00953E4D" w:rsidP="00953E4D">
      <w:pPr>
        <w:spacing w:after="0" w:line="240" w:lineRule="auto"/>
      </w:pPr>
      <w:r w:rsidRPr="00177CB1">
        <w:rPr>
          <w:b/>
          <w:bCs/>
        </w:rPr>
        <w:t>Udeleženci z manj priložnostmi</w:t>
      </w:r>
      <w:r>
        <w:t xml:space="preserve"> so identificirani na osnovi E+ Načrta za vključevanje in raznolikost, sprejetega na B2 VŠPV.</w:t>
      </w:r>
    </w:p>
    <w:p w14:paraId="33B82CA2" w14:textId="77777777" w:rsidR="00953E4D" w:rsidRDefault="00953E4D" w:rsidP="00AA189E">
      <w:pPr>
        <w:tabs>
          <w:tab w:val="left" w:pos="1800"/>
        </w:tabs>
        <w:spacing w:after="0" w:line="240" w:lineRule="auto"/>
        <w:jc w:val="both"/>
        <w:rPr>
          <w:rFonts w:cstheme="minorHAnsi"/>
        </w:rPr>
      </w:pPr>
    </w:p>
    <w:p w14:paraId="0245087F" w14:textId="5D0E5323" w:rsidR="008126BD" w:rsidRPr="00417ED3" w:rsidRDefault="008126BD" w:rsidP="00417ED3">
      <w:pPr>
        <w:spacing w:after="0" w:line="240" w:lineRule="auto"/>
        <w:jc w:val="both"/>
        <w:rPr>
          <w:rFonts w:cstheme="minorHAnsi"/>
        </w:rPr>
      </w:pPr>
    </w:p>
    <w:p w14:paraId="22B5757B" w14:textId="2870C0B1" w:rsidR="008126BD" w:rsidRPr="00AA189E" w:rsidRDefault="008126BD" w:rsidP="00AA189E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A189E">
        <w:rPr>
          <w:rFonts w:cstheme="minorHAnsi"/>
          <w:b/>
          <w:bCs/>
        </w:rPr>
        <w:lastRenderedPageBreak/>
        <w:t>Dotacija za potne stroške</w:t>
      </w:r>
      <w:r w:rsidRPr="00AA189E">
        <w:rPr>
          <w:rFonts w:cstheme="minorHAnsi"/>
        </w:rPr>
        <w:t xml:space="preserve"> je odvisna od razdalje med krajem sedeža domače institucije prijavitelja in krajem izvajanja aktivnosti</w:t>
      </w:r>
      <w:r w:rsidRPr="00417ED3">
        <w:rPr>
          <w:rStyle w:val="Sprotnaopomba-sklic"/>
          <w:rFonts w:cstheme="minorHAnsi"/>
        </w:rPr>
        <w:footnoteReference w:id="1"/>
      </w:r>
      <w:r w:rsidRPr="00AA189E">
        <w:rPr>
          <w:rFonts w:cstheme="minorHAnsi"/>
        </w:rPr>
        <w:t xml:space="preserve"> in se dodeli na temelju dejanskih stroškov, vendar največ do znesk</w:t>
      </w:r>
      <w:r w:rsidR="00533794" w:rsidRPr="00AA189E">
        <w:rPr>
          <w:rFonts w:cstheme="minorHAnsi"/>
        </w:rPr>
        <w:t>a</w:t>
      </w:r>
      <w:r w:rsidRPr="00AA189E">
        <w:rPr>
          <w:rFonts w:cstheme="minorHAnsi"/>
        </w:rPr>
        <w:t>, naveden</w:t>
      </w:r>
      <w:r w:rsidR="00533794" w:rsidRPr="00AA189E">
        <w:rPr>
          <w:rFonts w:cstheme="minorHAnsi"/>
        </w:rPr>
        <w:t>ega</w:t>
      </w:r>
      <w:r w:rsidRPr="00AA189E">
        <w:rPr>
          <w:rFonts w:cstheme="minorHAnsi"/>
        </w:rPr>
        <w:t xml:space="preserve"> v Tabel</w:t>
      </w:r>
      <w:r w:rsidR="00953E4D">
        <w:rPr>
          <w:rFonts w:cstheme="minorHAnsi"/>
        </w:rPr>
        <w:t>ah</w:t>
      </w:r>
      <w:r w:rsidRPr="00AA189E">
        <w:rPr>
          <w:rFonts w:cstheme="minorHAnsi"/>
        </w:rPr>
        <w:t xml:space="preserve"> </w:t>
      </w:r>
      <w:r w:rsidR="00953E4D">
        <w:rPr>
          <w:rFonts w:cstheme="minorHAnsi"/>
        </w:rPr>
        <w:t>4 in 5</w:t>
      </w:r>
      <w:r w:rsidRPr="00AA189E">
        <w:rPr>
          <w:rFonts w:cstheme="minorHAnsi"/>
        </w:rPr>
        <w:t xml:space="preserve">. </w:t>
      </w:r>
    </w:p>
    <w:p w14:paraId="09986060" w14:textId="1C20005A" w:rsidR="008126BD" w:rsidRPr="00417ED3" w:rsidRDefault="008126BD" w:rsidP="00417ED3">
      <w:pPr>
        <w:spacing w:after="0" w:line="240" w:lineRule="auto"/>
        <w:jc w:val="both"/>
        <w:rPr>
          <w:rFonts w:cstheme="minorHAnsi"/>
        </w:rPr>
      </w:pPr>
    </w:p>
    <w:p w14:paraId="0FED9E7C" w14:textId="77777777" w:rsidR="00953E4D" w:rsidRPr="0045697E" w:rsidRDefault="008126BD" w:rsidP="00620891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417ED3">
        <w:rPr>
          <w:rFonts w:cstheme="minorHAnsi"/>
          <w:sz w:val="18"/>
          <w:szCs w:val="18"/>
        </w:rPr>
        <w:t xml:space="preserve">Tabela </w:t>
      </w:r>
      <w:r w:rsidR="00953E4D">
        <w:rPr>
          <w:rFonts w:cstheme="minorHAnsi"/>
          <w:sz w:val="18"/>
          <w:szCs w:val="18"/>
        </w:rPr>
        <w:t>4</w:t>
      </w:r>
      <w:r w:rsidRPr="00417ED3">
        <w:rPr>
          <w:rFonts w:cstheme="minorHAnsi"/>
          <w:sz w:val="18"/>
          <w:szCs w:val="18"/>
        </w:rPr>
        <w:t xml:space="preserve">: </w:t>
      </w:r>
      <w:r w:rsidRPr="0045697E">
        <w:rPr>
          <w:rFonts w:cstheme="minorHAnsi"/>
          <w:sz w:val="18"/>
          <w:szCs w:val="18"/>
        </w:rPr>
        <w:t xml:space="preserve">Prispevek k potnim stroškom – dotacija za mobilnost </w:t>
      </w:r>
      <w:r w:rsidR="00B95F00" w:rsidRPr="0045697E">
        <w:rPr>
          <w:rFonts w:cstheme="minorHAnsi"/>
          <w:sz w:val="18"/>
          <w:szCs w:val="18"/>
        </w:rPr>
        <w:t>študentov</w:t>
      </w:r>
    </w:p>
    <w:p w14:paraId="12BA35B8" w14:textId="5122EA6C" w:rsidR="008126BD" w:rsidRPr="0045697E" w:rsidRDefault="00B95F00" w:rsidP="00620891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45697E">
        <w:rPr>
          <w:rFonts w:cstheme="minorHAnsi"/>
          <w:sz w:val="18"/>
          <w:szCs w:val="18"/>
        </w:rPr>
        <w:t xml:space="preserve"> </w:t>
      </w:r>
      <w:r w:rsidR="008126BD" w:rsidRPr="0045697E">
        <w:rPr>
          <w:rFonts w:cstheme="minorHAnsi"/>
          <w:sz w:val="18"/>
          <w:szCs w:val="18"/>
        </w:rPr>
        <w:t xml:space="preserve">med programskimi </w:t>
      </w:r>
      <w:r w:rsidRPr="0045697E">
        <w:rPr>
          <w:rFonts w:cstheme="minorHAnsi"/>
          <w:sz w:val="18"/>
          <w:szCs w:val="18"/>
        </w:rPr>
        <w:t>in</w:t>
      </w:r>
      <w:r w:rsidR="008126BD" w:rsidRPr="0045697E">
        <w:rPr>
          <w:rFonts w:cstheme="minorHAnsi"/>
          <w:sz w:val="18"/>
          <w:szCs w:val="18"/>
        </w:rPr>
        <w:t xml:space="preserve"> partnerskimi državami</w:t>
      </w:r>
      <w:r w:rsidR="00953E4D" w:rsidRPr="0045697E">
        <w:rPr>
          <w:rFonts w:cstheme="minorHAnsi"/>
          <w:sz w:val="18"/>
          <w:szCs w:val="18"/>
        </w:rPr>
        <w:t xml:space="preserve"> (razpis 2023)</w:t>
      </w:r>
      <w:r w:rsidR="008126BD" w:rsidRPr="0045697E">
        <w:rPr>
          <w:rFonts w:cstheme="minorHAnsi"/>
          <w:sz w:val="18"/>
          <w:szCs w:val="18"/>
        </w:rPr>
        <w:t>.</w:t>
      </w:r>
    </w:p>
    <w:tbl>
      <w:tblPr>
        <w:tblW w:w="5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1192"/>
      </w:tblGrid>
      <w:tr w:rsidR="00C302B8" w:rsidRPr="0045697E" w14:paraId="66E436FC" w14:textId="4EF5077A" w:rsidTr="00C302B8">
        <w:trPr>
          <w:trHeight w:val="345"/>
          <w:jc w:val="center"/>
        </w:trPr>
        <w:tc>
          <w:tcPr>
            <w:tcW w:w="3841" w:type="dxa"/>
            <w:shd w:val="clear" w:color="auto" w:fill="BFBFBF" w:themeFill="background1" w:themeFillShade="BF"/>
            <w:noWrap/>
            <w:vAlign w:val="bottom"/>
          </w:tcPr>
          <w:p w14:paraId="480F4A85" w14:textId="77777777" w:rsidR="00C302B8" w:rsidRPr="0045697E" w:rsidRDefault="00C302B8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Država</w:t>
            </w:r>
          </w:p>
        </w:tc>
        <w:tc>
          <w:tcPr>
            <w:tcW w:w="1192" w:type="dxa"/>
            <w:shd w:val="clear" w:color="auto" w:fill="BFBFBF" w:themeFill="background1" w:themeFillShade="BF"/>
            <w:noWrap/>
            <w:vAlign w:val="bottom"/>
          </w:tcPr>
          <w:p w14:paraId="0DAAA763" w14:textId="102C2A02" w:rsidR="00C302B8" w:rsidRPr="0045697E" w:rsidRDefault="00C302B8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Znesek</w:t>
            </w:r>
          </w:p>
        </w:tc>
      </w:tr>
      <w:tr w:rsidR="00C302B8" w:rsidRPr="0045697E" w14:paraId="16E030B4" w14:textId="31AB5330" w:rsidTr="00C302B8">
        <w:trPr>
          <w:trHeight w:val="345"/>
          <w:jc w:val="center"/>
        </w:trPr>
        <w:tc>
          <w:tcPr>
            <w:tcW w:w="3841" w:type="dxa"/>
            <w:shd w:val="clear" w:color="auto" w:fill="auto"/>
            <w:noWrap/>
            <w:vAlign w:val="bottom"/>
          </w:tcPr>
          <w:p w14:paraId="5C1E6053" w14:textId="77777777" w:rsidR="00C302B8" w:rsidRPr="0045697E" w:rsidRDefault="00C302B8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Bosna in Hercegovina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146236E2" w14:textId="77777777" w:rsidR="00C302B8" w:rsidRPr="0045697E" w:rsidRDefault="00C302B8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180 eur</w:t>
            </w:r>
          </w:p>
        </w:tc>
      </w:tr>
      <w:tr w:rsidR="00C302B8" w:rsidRPr="0045697E" w14:paraId="661B9D8A" w14:textId="53C6DFB9" w:rsidTr="00C302B8">
        <w:trPr>
          <w:trHeight w:val="345"/>
          <w:jc w:val="center"/>
        </w:trPr>
        <w:tc>
          <w:tcPr>
            <w:tcW w:w="3841" w:type="dxa"/>
            <w:shd w:val="clear" w:color="auto" w:fill="auto"/>
            <w:noWrap/>
            <w:vAlign w:val="bottom"/>
          </w:tcPr>
          <w:p w14:paraId="48604656" w14:textId="5E65CB77" w:rsidR="00C302B8" w:rsidRPr="0045697E" w:rsidRDefault="00C302B8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Črna gora, Albanija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307726E3" w14:textId="0C244C33" w:rsidR="00C302B8" w:rsidRPr="0045697E" w:rsidRDefault="00C302B8" w:rsidP="00417ED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275 eur</w:t>
            </w:r>
          </w:p>
        </w:tc>
      </w:tr>
    </w:tbl>
    <w:p w14:paraId="0555CFBD" w14:textId="77777777" w:rsidR="008126BD" w:rsidRPr="0045697E" w:rsidRDefault="008126BD" w:rsidP="00417ED3">
      <w:pPr>
        <w:spacing w:after="0" w:line="240" w:lineRule="auto"/>
        <w:jc w:val="both"/>
        <w:rPr>
          <w:rFonts w:cstheme="minorHAnsi"/>
        </w:rPr>
      </w:pPr>
    </w:p>
    <w:p w14:paraId="64E23546" w14:textId="77777777" w:rsidR="00953E4D" w:rsidRPr="0045697E" w:rsidRDefault="00953E4D" w:rsidP="00417ED3">
      <w:pPr>
        <w:spacing w:after="0" w:line="240" w:lineRule="auto"/>
        <w:jc w:val="both"/>
        <w:rPr>
          <w:rFonts w:cstheme="minorHAnsi"/>
        </w:rPr>
      </w:pPr>
    </w:p>
    <w:p w14:paraId="545FF21C" w14:textId="77777777" w:rsidR="00953E4D" w:rsidRPr="0045697E" w:rsidRDefault="00953E4D" w:rsidP="00953E4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45697E">
        <w:rPr>
          <w:rFonts w:cstheme="minorHAnsi"/>
          <w:sz w:val="18"/>
          <w:szCs w:val="18"/>
        </w:rPr>
        <w:t xml:space="preserve">Tabela 4: Prispevek k potnim stroškom – dotacija za mobilnost študentov </w:t>
      </w:r>
    </w:p>
    <w:p w14:paraId="59EF6740" w14:textId="70E2E5FA" w:rsidR="00953E4D" w:rsidRPr="0045697E" w:rsidRDefault="00953E4D" w:rsidP="00953E4D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45697E">
        <w:rPr>
          <w:rFonts w:cstheme="minorHAnsi"/>
          <w:sz w:val="18"/>
          <w:szCs w:val="18"/>
        </w:rPr>
        <w:t>med programskimi in partnerskimi državami (razpis 2024).</w:t>
      </w:r>
    </w:p>
    <w:tbl>
      <w:tblPr>
        <w:tblW w:w="5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1192"/>
      </w:tblGrid>
      <w:tr w:rsidR="00953E4D" w:rsidRPr="0045697E" w14:paraId="7C63E74D" w14:textId="77777777" w:rsidTr="00A74E01">
        <w:trPr>
          <w:trHeight w:val="345"/>
          <w:jc w:val="center"/>
        </w:trPr>
        <w:tc>
          <w:tcPr>
            <w:tcW w:w="3841" w:type="dxa"/>
            <w:shd w:val="clear" w:color="auto" w:fill="BFBFBF" w:themeFill="background1" w:themeFillShade="BF"/>
            <w:noWrap/>
            <w:vAlign w:val="bottom"/>
          </w:tcPr>
          <w:p w14:paraId="5058F530" w14:textId="77777777" w:rsidR="00953E4D" w:rsidRPr="0045697E" w:rsidRDefault="00953E4D" w:rsidP="00A74E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Država</w:t>
            </w:r>
          </w:p>
        </w:tc>
        <w:tc>
          <w:tcPr>
            <w:tcW w:w="1192" w:type="dxa"/>
            <w:shd w:val="clear" w:color="auto" w:fill="BFBFBF" w:themeFill="background1" w:themeFillShade="BF"/>
            <w:noWrap/>
            <w:vAlign w:val="bottom"/>
          </w:tcPr>
          <w:p w14:paraId="7FC324B3" w14:textId="77777777" w:rsidR="00953E4D" w:rsidRPr="0045697E" w:rsidRDefault="00953E4D" w:rsidP="00A74E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Znesek</w:t>
            </w:r>
          </w:p>
        </w:tc>
      </w:tr>
      <w:tr w:rsidR="00953E4D" w:rsidRPr="00417ED3" w14:paraId="2DB707D4" w14:textId="77777777" w:rsidTr="00A74E01">
        <w:trPr>
          <w:trHeight w:val="345"/>
          <w:jc w:val="center"/>
        </w:trPr>
        <w:tc>
          <w:tcPr>
            <w:tcW w:w="3841" w:type="dxa"/>
            <w:shd w:val="clear" w:color="auto" w:fill="auto"/>
            <w:noWrap/>
            <w:vAlign w:val="bottom"/>
          </w:tcPr>
          <w:p w14:paraId="1FAD73FA" w14:textId="40E2ED9E" w:rsidR="00953E4D" w:rsidRPr="0045697E" w:rsidRDefault="0045697E" w:rsidP="00A74E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ZAE</w:t>
            </w:r>
          </w:p>
        </w:tc>
        <w:tc>
          <w:tcPr>
            <w:tcW w:w="1192" w:type="dxa"/>
            <w:shd w:val="clear" w:color="auto" w:fill="auto"/>
            <w:noWrap/>
            <w:vAlign w:val="bottom"/>
          </w:tcPr>
          <w:p w14:paraId="5C47132A" w14:textId="72A185C8" w:rsidR="00953E4D" w:rsidRPr="0045697E" w:rsidRDefault="0045697E" w:rsidP="00A74E0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sl-SI"/>
              </w:rPr>
            </w:pPr>
            <w:r w:rsidRPr="0045697E">
              <w:rPr>
                <w:rFonts w:eastAsia="Times New Roman" w:cstheme="minorHAnsi"/>
                <w:color w:val="000000"/>
                <w:lang w:eastAsia="sl-SI"/>
              </w:rPr>
              <w:t>1.118 eur</w:t>
            </w:r>
          </w:p>
        </w:tc>
      </w:tr>
    </w:tbl>
    <w:p w14:paraId="13EBD8F8" w14:textId="77777777" w:rsidR="00953E4D" w:rsidRDefault="00953E4D" w:rsidP="00417ED3">
      <w:pPr>
        <w:spacing w:after="0" w:line="240" w:lineRule="auto"/>
        <w:jc w:val="both"/>
        <w:rPr>
          <w:rFonts w:cstheme="minorHAnsi"/>
        </w:rPr>
      </w:pPr>
    </w:p>
    <w:p w14:paraId="2E8B3A76" w14:textId="77777777" w:rsidR="00953E4D" w:rsidRDefault="00953E4D" w:rsidP="00417ED3">
      <w:pPr>
        <w:spacing w:after="0" w:line="240" w:lineRule="auto"/>
        <w:jc w:val="both"/>
        <w:rPr>
          <w:rFonts w:cstheme="minorHAnsi"/>
        </w:rPr>
      </w:pPr>
    </w:p>
    <w:p w14:paraId="720107F8" w14:textId="5522AE72" w:rsidR="008126BD" w:rsidRPr="00417ED3" w:rsidRDefault="00533794" w:rsidP="00417ED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8126BD" w:rsidRPr="00417ED3">
        <w:rPr>
          <w:rFonts w:cstheme="minorHAnsi"/>
        </w:rPr>
        <w:t xml:space="preserve">ejansko pot </w:t>
      </w:r>
      <w:r>
        <w:rPr>
          <w:rFonts w:cstheme="minorHAnsi"/>
        </w:rPr>
        <w:t xml:space="preserve">je treba </w:t>
      </w:r>
      <w:r w:rsidR="008126BD" w:rsidRPr="00417ED3">
        <w:rPr>
          <w:rFonts w:cstheme="minorHAnsi"/>
        </w:rPr>
        <w:t>dokazati z vozovnicami ali drugimi računi</w:t>
      </w:r>
      <w:r>
        <w:rPr>
          <w:rFonts w:cstheme="minorHAnsi"/>
        </w:rPr>
        <w:t>.</w:t>
      </w:r>
    </w:p>
    <w:p w14:paraId="1CEA1CED" w14:textId="77777777" w:rsidR="00AA189E" w:rsidRDefault="00AA189E" w:rsidP="00AA189E">
      <w:pPr>
        <w:spacing w:after="0" w:line="240" w:lineRule="auto"/>
      </w:pPr>
    </w:p>
    <w:p w14:paraId="14BC9403" w14:textId="3FFBAB19" w:rsidR="00AA189E" w:rsidRPr="00AA189E" w:rsidRDefault="00AA189E" w:rsidP="00AA189E">
      <w:pPr>
        <w:pStyle w:val="Odstavekseznama"/>
        <w:numPr>
          <w:ilvl w:val="0"/>
          <w:numId w:val="10"/>
        </w:numPr>
        <w:rPr>
          <w:b/>
          <w:bCs/>
          <w:i/>
          <w:iCs/>
        </w:rPr>
      </w:pPr>
      <w:r w:rsidRPr="00AA189E">
        <w:rPr>
          <w:b/>
          <w:bCs/>
          <w:i/>
          <w:iCs/>
        </w:rPr>
        <w:t>Višji znesek za zeleno potovanje</w:t>
      </w:r>
    </w:p>
    <w:p w14:paraId="1D9C3BE3" w14:textId="77777777" w:rsidR="00AA189E" w:rsidRPr="00AA189E" w:rsidRDefault="00AA189E" w:rsidP="00AA189E">
      <w:pPr>
        <w:tabs>
          <w:tab w:val="left" w:pos="1800"/>
        </w:tabs>
        <w:spacing w:after="0" w:line="240" w:lineRule="auto"/>
        <w:jc w:val="both"/>
        <w:rPr>
          <w:rFonts w:eastAsia="Times New Roman"/>
          <w:lang w:eastAsia="sl-SI"/>
        </w:rPr>
      </w:pPr>
      <w:r w:rsidRPr="00AA189E">
        <w:rPr>
          <w:rFonts w:eastAsia="Times New Roman"/>
          <w:lang w:eastAsia="sl-SI"/>
        </w:rPr>
        <w:t xml:space="preserve">Kot zeleno potovanje je opredeljeno tisto potovanje, pri katerem udeleženec večji del potovanja opravi s prevoznimi sredstvi z manjšimi emisijami (npr. avtobus, vlak, souporaba avtomobila). </w:t>
      </w:r>
    </w:p>
    <w:p w14:paraId="0DB2255F" w14:textId="77777777" w:rsidR="00AA189E" w:rsidRPr="00AA189E" w:rsidRDefault="00AA189E" w:rsidP="00AA189E">
      <w:pPr>
        <w:tabs>
          <w:tab w:val="left" w:pos="1800"/>
        </w:tabs>
        <w:spacing w:after="0" w:line="240" w:lineRule="auto"/>
        <w:jc w:val="both"/>
        <w:rPr>
          <w:rFonts w:eastAsia="Times New Roman"/>
          <w:lang w:eastAsia="sl-SI"/>
        </w:rPr>
      </w:pPr>
    </w:p>
    <w:p w14:paraId="5788246C" w14:textId="0CD6F098" w:rsidR="00AA189E" w:rsidRDefault="00AA189E" w:rsidP="00AA189E">
      <w:pPr>
        <w:tabs>
          <w:tab w:val="left" w:pos="1800"/>
        </w:tabs>
        <w:spacing w:after="0" w:line="240" w:lineRule="auto"/>
        <w:jc w:val="both"/>
        <w:rPr>
          <w:rFonts w:cstheme="minorHAnsi"/>
        </w:rPr>
      </w:pPr>
      <w:r w:rsidRPr="00AA189E">
        <w:rPr>
          <w:rFonts w:eastAsia="Times New Roman"/>
          <w:lang w:eastAsia="sl-SI"/>
        </w:rPr>
        <w:t xml:space="preserve">Kot dokazilo o uporabi trajnostnih prevoznih sredstev se uporablja častna izjava, ki jo podpišeta oseba, ki prejme nepovratna sredstva za potne stroške, in organizacija pošiljateljica. Udeleženec mobilnosti izjavo predloži </w:t>
      </w:r>
      <w:r w:rsidR="0045697E">
        <w:rPr>
          <w:rFonts w:eastAsia="Times New Roman"/>
          <w:lang w:eastAsia="sl-SI"/>
        </w:rPr>
        <w:t xml:space="preserve">B2 </w:t>
      </w:r>
      <w:r w:rsidRPr="00AA189E">
        <w:rPr>
          <w:rFonts w:eastAsia="Times New Roman"/>
          <w:lang w:eastAsia="sl-SI"/>
        </w:rPr>
        <w:t xml:space="preserve">VŠPV, ki slednjo hrani kot ustrezno dokumentacijo o stroških (vozovnice, računi </w:t>
      </w:r>
      <w:proofErr w:type="spellStart"/>
      <w:r w:rsidRPr="00AA189E">
        <w:rPr>
          <w:rFonts w:eastAsia="Times New Roman"/>
          <w:lang w:eastAsia="sl-SI"/>
        </w:rPr>
        <w:t>ipd</w:t>
      </w:r>
      <w:proofErr w:type="spellEnd"/>
      <w:r w:rsidRPr="00AA189E">
        <w:rPr>
          <w:rFonts w:eastAsia="Times New Roman"/>
          <w:lang w:eastAsia="sl-SI"/>
        </w:rPr>
        <w:t>).</w:t>
      </w:r>
    </w:p>
    <w:p w14:paraId="1749012A" w14:textId="77777777" w:rsidR="00AA189E" w:rsidRDefault="00AA189E" w:rsidP="00533794">
      <w:pPr>
        <w:tabs>
          <w:tab w:val="left" w:pos="1800"/>
        </w:tabs>
        <w:spacing w:after="0" w:line="240" w:lineRule="auto"/>
        <w:jc w:val="both"/>
        <w:rPr>
          <w:rFonts w:cstheme="minorHAnsi"/>
        </w:rPr>
      </w:pPr>
    </w:p>
    <w:p w14:paraId="30CC21B8" w14:textId="77777777" w:rsidR="00AA189E" w:rsidRPr="00417ED3" w:rsidRDefault="00AA189E" w:rsidP="00533794">
      <w:pPr>
        <w:tabs>
          <w:tab w:val="left" w:pos="1800"/>
        </w:tabs>
        <w:spacing w:after="0" w:line="240" w:lineRule="auto"/>
        <w:jc w:val="both"/>
        <w:rPr>
          <w:rFonts w:cstheme="minorHAnsi"/>
        </w:rPr>
      </w:pPr>
    </w:p>
    <w:p w14:paraId="3D6D8FA0" w14:textId="51A342AC" w:rsidR="000C3BD7" w:rsidRPr="00DA24B3" w:rsidRDefault="000C3BD7" w:rsidP="00417ED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Oddaja prijave in izbor</w:t>
      </w:r>
    </w:p>
    <w:p w14:paraId="205B78B2" w14:textId="17989523" w:rsidR="009A09F6" w:rsidRPr="00417ED3" w:rsidRDefault="009A09F6" w:rsidP="00417ED3">
      <w:pPr>
        <w:spacing w:after="0" w:line="240" w:lineRule="auto"/>
        <w:jc w:val="both"/>
        <w:rPr>
          <w:rFonts w:cstheme="minorHAnsi"/>
        </w:rPr>
      </w:pPr>
    </w:p>
    <w:p w14:paraId="2587FC91" w14:textId="77777777" w:rsidR="00DA24B3" w:rsidRDefault="00DA24B3" w:rsidP="00DA24B3">
      <w:pPr>
        <w:spacing w:after="0" w:line="240" w:lineRule="auto"/>
      </w:pPr>
      <w:r w:rsidRPr="006E190B">
        <w:t xml:space="preserve">Na razpis se lahko prijavijo vsi študenti, </w:t>
      </w:r>
      <w:r>
        <w:t>ki:</w:t>
      </w:r>
    </w:p>
    <w:p w14:paraId="6CF11BA4" w14:textId="6A6676CD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 xml:space="preserve">so </w:t>
      </w:r>
      <w:r w:rsidRPr="006E190B">
        <w:t xml:space="preserve">vpisani na </w:t>
      </w:r>
      <w:r w:rsidR="00953E4D">
        <w:t xml:space="preserve">B2 </w:t>
      </w:r>
      <w:r w:rsidRPr="006E190B">
        <w:t>VŠPV v tekočem študijskem letu</w:t>
      </w:r>
      <w:r>
        <w:t xml:space="preserve"> in imajo do konca izmenjave aktiven status na </w:t>
      </w:r>
      <w:r w:rsidR="0045697E">
        <w:t xml:space="preserve">B2 </w:t>
      </w:r>
      <w:r>
        <w:t>VŠPV,</w:t>
      </w:r>
    </w:p>
    <w:p w14:paraId="78BE6207" w14:textId="265F18A3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 xml:space="preserve">imajo do </w:t>
      </w:r>
      <w:r w:rsidR="00953E4D">
        <w:t xml:space="preserve">B2 </w:t>
      </w:r>
      <w:r>
        <w:t>VŠPV poravnane vse finančne obveznosti,</w:t>
      </w:r>
    </w:p>
    <w:p w14:paraId="3AC3A5B2" w14:textId="77777777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 xml:space="preserve">v času študija ne bodo presegli maksimuma trajanja mobilnosti (na isti stopnji študija lahko študent večkrat odide na mobilnost; študij, praksa in KIP lahko skupaj trajajo do največ 12 mesecev na isti stopnji študija). </w:t>
      </w:r>
    </w:p>
    <w:p w14:paraId="7EB880F1" w14:textId="0AB4B52E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 w:rsidRPr="006E190B">
        <w:t xml:space="preserve">Študenti </w:t>
      </w:r>
      <w:r w:rsidR="00953E4D">
        <w:t xml:space="preserve">B2 </w:t>
      </w:r>
      <w:r w:rsidRPr="006E190B">
        <w:t>VŠPV, ki so hkrati v delovnem razmerju, se lahko prijavijo na razpis Erasmus+ le, če jim delodajalec v primeru izmenjave ne bo kril stroškov na podlagi izdanega potnega naloga.</w:t>
      </w:r>
    </w:p>
    <w:p w14:paraId="36348329" w14:textId="77777777" w:rsidR="009A09F6" w:rsidRDefault="009A09F6" w:rsidP="00417ED3">
      <w:pPr>
        <w:spacing w:after="0" w:line="240" w:lineRule="auto"/>
        <w:jc w:val="both"/>
        <w:rPr>
          <w:rFonts w:cstheme="minorHAnsi"/>
        </w:rPr>
      </w:pPr>
    </w:p>
    <w:p w14:paraId="56516698" w14:textId="77777777" w:rsidR="0045697E" w:rsidRDefault="0045697E" w:rsidP="00417ED3">
      <w:pPr>
        <w:spacing w:after="0" w:line="240" w:lineRule="auto"/>
        <w:jc w:val="both"/>
        <w:rPr>
          <w:rFonts w:cstheme="minorHAnsi"/>
        </w:rPr>
      </w:pPr>
    </w:p>
    <w:p w14:paraId="3C791D74" w14:textId="77777777" w:rsidR="0045697E" w:rsidRPr="00417ED3" w:rsidRDefault="0045697E" w:rsidP="00417ED3">
      <w:pPr>
        <w:spacing w:after="0" w:line="240" w:lineRule="auto"/>
        <w:jc w:val="both"/>
        <w:rPr>
          <w:rFonts w:cstheme="minorHAnsi"/>
        </w:rPr>
      </w:pPr>
    </w:p>
    <w:p w14:paraId="25741F76" w14:textId="77777777" w:rsidR="00DA24B3" w:rsidRDefault="00DA24B3" w:rsidP="00DA24B3">
      <w:pPr>
        <w:spacing w:after="0" w:line="240" w:lineRule="auto"/>
        <w:ind w:left="173"/>
      </w:pPr>
      <w:r>
        <w:t>Študent mora praviloma v tujini opraviti vsaj:</w:t>
      </w:r>
    </w:p>
    <w:p w14:paraId="72E7C064" w14:textId="77777777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>3 ECTS v primeru KIP,</w:t>
      </w:r>
    </w:p>
    <w:p w14:paraId="3FCCA3F4" w14:textId="77777777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>10 ECTS v primeru mobilnosti v trajanju 2–3 mesecev,</w:t>
      </w:r>
    </w:p>
    <w:p w14:paraId="28BAA993" w14:textId="77777777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>20 ECTS v primeru mobilnosti v trajanju 6 mesecev in</w:t>
      </w:r>
    </w:p>
    <w:p w14:paraId="1C082F64" w14:textId="77777777" w:rsidR="00DA24B3" w:rsidRPr="006E190B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>40 ECTS v primeru mobilnosti v trajanju 12 mesecev.</w:t>
      </w:r>
    </w:p>
    <w:p w14:paraId="010ED1A5" w14:textId="77777777" w:rsidR="00DA24B3" w:rsidRPr="006E190B" w:rsidRDefault="00DA24B3" w:rsidP="00DA24B3">
      <w:pPr>
        <w:spacing w:after="0" w:line="240" w:lineRule="auto"/>
      </w:pPr>
    </w:p>
    <w:p w14:paraId="7E724A34" w14:textId="77777777" w:rsidR="00DA24B3" w:rsidRPr="006E190B" w:rsidRDefault="00DA24B3" w:rsidP="00DA24B3">
      <w:pPr>
        <w:spacing w:after="0" w:line="240" w:lineRule="auto"/>
      </w:pPr>
      <w:r w:rsidRPr="006E190B">
        <w:t>V primeru nepopolnih prijav bodo kandidati pozvani k dopolnitvi v roku 15 dni. V primeru nedopolnjene prijave v predvidenem roku bo ta zavrnjena.</w:t>
      </w:r>
    </w:p>
    <w:p w14:paraId="0195B9FC" w14:textId="77777777" w:rsidR="00DA24B3" w:rsidRPr="006E190B" w:rsidRDefault="00DA24B3" w:rsidP="00DA24B3">
      <w:pPr>
        <w:spacing w:after="0" w:line="240" w:lineRule="auto"/>
      </w:pPr>
    </w:p>
    <w:p w14:paraId="680CAD38" w14:textId="77777777" w:rsidR="00DA24B3" w:rsidRPr="006E190B" w:rsidRDefault="00DA24B3" w:rsidP="00DA24B3">
      <w:pPr>
        <w:spacing w:after="0" w:line="240" w:lineRule="auto"/>
        <w:rPr>
          <w:b/>
          <w:bCs/>
        </w:rPr>
      </w:pPr>
      <w:r w:rsidRPr="006E190B">
        <w:t xml:space="preserve">Prijavnico kandidati </w:t>
      </w:r>
      <w:r w:rsidRPr="006E190B">
        <w:rPr>
          <w:b/>
          <w:bCs/>
        </w:rPr>
        <w:t>do zapolnitve mest</w:t>
      </w:r>
      <w:r w:rsidRPr="006E190B">
        <w:t xml:space="preserve"> pošljete po elektronski pošti </w:t>
      </w:r>
      <w:r>
        <w:t xml:space="preserve">Erasmus+ koordinatorici: </w:t>
      </w:r>
      <w:hyperlink r:id="rId8" w:history="1">
        <w:r w:rsidRPr="00702069">
          <w:rPr>
            <w:rStyle w:val="Hiperpovezava"/>
          </w:rPr>
          <w:t>spela.pregl@vspv.si</w:t>
        </w:r>
      </w:hyperlink>
      <w:r>
        <w:t>.</w:t>
      </w:r>
      <w:r w:rsidRPr="006E190B">
        <w:t xml:space="preserve"> </w:t>
      </w:r>
    </w:p>
    <w:p w14:paraId="481C1A6E" w14:textId="77777777" w:rsidR="00DA24B3" w:rsidRDefault="00DA24B3" w:rsidP="00417ED3">
      <w:pPr>
        <w:spacing w:after="0" w:line="240" w:lineRule="auto"/>
        <w:jc w:val="both"/>
        <w:rPr>
          <w:rFonts w:cstheme="minorHAnsi"/>
        </w:rPr>
      </w:pPr>
    </w:p>
    <w:p w14:paraId="6062077D" w14:textId="2BC640D8" w:rsidR="00DA24B3" w:rsidRDefault="00DA24B3" w:rsidP="00417ED3">
      <w:pPr>
        <w:spacing w:after="0" w:line="240" w:lineRule="auto"/>
        <w:jc w:val="both"/>
      </w:pPr>
      <w:r w:rsidRPr="006E190B">
        <w:t xml:space="preserve">Razpis </w:t>
      </w:r>
      <w:r>
        <w:t>je</w:t>
      </w:r>
      <w:r w:rsidRPr="006E190B">
        <w:t xml:space="preserve"> odprt do zapolnitve mest oz. do porabe sredstev.</w:t>
      </w:r>
    </w:p>
    <w:p w14:paraId="5B7DAA97" w14:textId="77777777" w:rsidR="00DA24B3" w:rsidRDefault="00DA24B3" w:rsidP="00417ED3">
      <w:pPr>
        <w:spacing w:after="0" w:line="240" w:lineRule="auto"/>
        <w:jc w:val="both"/>
      </w:pPr>
    </w:p>
    <w:p w14:paraId="4F357FC7" w14:textId="77777777" w:rsidR="00DA24B3" w:rsidRDefault="00DA24B3" w:rsidP="00417ED3">
      <w:pPr>
        <w:spacing w:after="0" w:line="240" w:lineRule="auto"/>
        <w:jc w:val="both"/>
      </w:pPr>
    </w:p>
    <w:p w14:paraId="42CA68F7" w14:textId="77777777" w:rsidR="00DA24B3" w:rsidRPr="00DA24B3" w:rsidRDefault="00DA24B3" w:rsidP="00DA24B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Partnerske institucije</w:t>
      </w:r>
    </w:p>
    <w:p w14:paraId="1C9D1AD8" w14:textId="77777777" w:rsidR="00DA24B3" w:rsidRDefault="00DA24B3" w:rsidP="00DA24B3">
      <w:pPr>
        <w:spacing w:after="0" w:line="240" w:lineRule="auto"/>
        <w:jc w:val="both"/>
        <w:rPr>
          <w:rFonts w:cstheme="minorHAnsi"/>
        </w:rPr>
      </w:pPr>
    </w:p>
    <w:p w14:paraId="0DD383E7" w14:textId="338259C6" w:rsidR="00DA24B3" w:rsidRDefault="00DA24B3" w:rsidP="00DA24B3">
      <w:pPr>
        <w:spacing w:after="0" w:line="240" w:lineRule="auto"/>
        <w:jc w:val="both"/>
        <w:rPr>
          <w:rFonts w:cstheme="minorHAnsi"/>
        </w:rPr>
      </w:pPr>
      <w:r w:rsidRPr="00417ED3">
        <w:rPr>
          <w:rFonts w:cstheme="minorHAnsi"/>
        </w:rPr>
        <w:t xml:space="preserve">Seznam partnerskih institucij </w:t>
      </w:r>
      <w:r>
        <w:rPr>
          <w:rFonts w:cstheme="minorHAnsi"/>
        </w:rPr>
        <w:t xml:space="preserve">iz držav, ki niso članice EU, in s katerimi ima </w:t>
      </w:r>
      <w:r w:rsidR="0045697E">
        <w:rPr>
          <w:rFonts w:cstheme="minorHAnsi"/>
        </w:rPr>
        <w:t xml:space="preserve">B2 </w:t>
      </w:r>
      <w:r>
        <w:rPr>
          <w:rFonts w:cstheme="minorHAnsi"/>
        </w:rPr>
        <w:t xml:space="preserve">VŠPV sklenjen medinstitucionalni sporazum </w:t>
      </w:r>
      <w:r w:rsidRPr="00417ED3">
        <w:rPr>
          <w:rFonts w:cstheme="minorHAnsi"/>
        </w:rPr>
        <w:t xml:space="preserve">je dostopen na </w:t>
      </w:r>
      <w:r w:rsidR="0045697E">
        <w:rPr>
          <w:rFonts w:cstheme="minorHAnsi"/>
        </w:rPr>
        <w:t xml:space="preserve">B2 </w:t>
      </w:r>
      <w:r w:rsidRPr="00417ED3">
        <w:rPr>
          <w:rFonts w:cstheme="minorHAnsi"/>
        </w:rPr>
        <w:t>VŠPV</w:t>
      </w:r>
      <w:r>
        <w:rPr>
          <w:rFonts w:cstheme="minorHAnsi"/>
        </w:rPr>
        <w:t xml:space="preserve"> spletni strani – </w:t>
      </w:r>
      <w:r>
        <w:t xml:space="preserve">kliknite </w:t>
      </w:r>
      <w:hyperlink r:id="rId9" w:history="1">
        <w:r w:rsidRPr="006559F0">
          <w:rPr>
            <w:rStyle w:val="Hiperpovezava"/>
            <w:b/>
            <w:bCs/>
          </w:rPr>
          <w:t>TUKAJ</w:t>
        </w:r>
      </w:hyperlink>
      <w:r>
        <w:t>.</w:t>
      </w:r>
      <w:r>
        <w:rPr>
          <w:rFonts w:cstheme="minorHAnsi"/>
        </w:rPr>
        <w:t xml:space="preserve"> </w:t>
      </w:r>
    </w:p>
    <w:p w14:paraId="2E393FFE" w14:textId="77777777" w:rsidR="00DA24B3" w:rsidRDefault="00DA24B3" w:rsidP="00DA24B3">
      <w:pPr>
        <w:spacing w:after="0" w:line="240" w:lineRule="auto"/>
        <w:jc w:val="both"/>
        <w:rPr>
          <w:rFonts w:cstheme="minorHAnsi"/>
        </w:rPr>
      </w:pPr>
    </w:p>
    <w:p w14:paraId="408D7523" w14:textId="77777777" w:rsidR="00DA24B3" w:rsidRDefault="00DA24B3" w:rsidP="00417ED3">
      <w:pPr>
        <w:spacing w:after="0" w:line="240" w:lineRule="auto"/>
        <w:jc w:val="both"/>
        <w:rPr>
          <w:rFonts w:cstheme="minorHAnsi"/>
        </w:rPr>
      </w:pPr>
    </w:p>
    <w:p w14:paraId="5D75A585" w14:textId="77777777" w:rsidR="00DA24B3" w:rsidRPr="00DA24B3" w:rsidRDefault="00DA24B3" w:rsidP="00DA24B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Postopek izbire</w:t>
      </w:r>
    </w:p>
    <w:p w14:paraId="02B1F579" w14:textId="77777777" w:rsidR="00DA24B3" w:rsidRPr="00DA24B3" w:rsidRDefault="00DA24B3" w:rsidP="00DA24B3"/>
    <w:p w14:paraId="055BC556" w14:textId="77777777" w:rsidR="00DA24B3" w:rsidRPr="00953E4D" w:rsidRDefault="00DA24B3" w:rsidP="00DA24B3">
      <w:pPr>
        <w:spacing w:after="0" w:line="240" w:lineRule="auto"/>
      </w:pPr>
      <w:r w:rsidRPr="006E190B">
        <w:t>V primeru večjega interesa</w:t>
      </w:r>
      <w:r>
        <w:t>,</w:t>
      </w:r>
      <w:r w:rsidRPr="006E190B">
        <w:t xml:space="preserve"> kot je na voljo mest</w:t>
      </w:r>
      <w:r>
        <w:t>,</w:t>
      </w:r>
      <w:r w:rsidRPr="006E190B">
        <w:t xml:space="preserve"> so kriter</w:t>
      </w:r>
      <w:r w:rsidRPr="00953E4D">
        <w:t>iji za izbor kandidatov naslednji:</w:t>
      </w:r>
    </w:p>
    <w:p w14:paraId="2CAE2027" w14:textId="77777777" w:rsidR="00DA24B3" w:rsidRPr="00953E4D" w:rsidRDefault="00DA24B3" w:rsidP="00DA24B3">
      <w:pPr>
        <w:pStyle w:val="Odstavekseznama"/>
        <w:numPr>
          <w:ilvl w:val="0"/>
          <w:numId w:val="8"/>
        </w:numPr>
        <w:spacing w:after="0" w:line="240" w:lineRule="auto"/>
        <w:ind w:left="795" w:hanging="3"/>
        <w:jc w:val="both"/>
      </w:pPr>
      <w:r w:rsidRPr="00953E4D">
        <w:t>ocena motivacijskega zapisa (2 točki),</w:t>
      </w:r>
    </w:p>
    <w:p w14:paraId="2F143C94" w14:textId="77777777" w:rsidR="00DA24B3" w:rsidRPr="00953E4D" w:rsidRDefault="00DA24B3" w:rsidP="00DA24B3">
      <w:pPr>
        <w:pStyle w:val="Odstavekseznama"/>
        <w:numPr>
          <w:ilvl w:val="0"/>
          <w:numId w:val="8"/>
        </w:numPr>
        <w:spacing w:after="0" w:line="240" w:lineRule="auto"/>
        <w:ind w:left="795" w:hanging="3"/>
        <w:jc w:val="both"/>
      </w:pPr>
      <w:r w:rsidRPr="00953E4D">
        <w:t>datum prejema vloge (1 točka),</w:t>
      </w:r>
    </w:p>
    <w:p w14:paraId="3664CD63" w14:textId="77777777" w:rsidR="00DA24B3" w:rsidRPr="00953E4D" w:rsidRDefault="00DA24B3" w:rsidP="00DA24B3">
      <w:pPr>
        <w:pStyle w:val="Odstavekseznama"/>
        <w:numPr>
          <w:ilvl w:val="0"/>
          <w:numId w:val="8"/>
        </w:numPr>
        <w:spacing w:after="0" w:line="240" w:lineRule="auto"/>
        <w:ind w:left="795" w:hanging="3"/>
        <w:jc w:val="both"/>
      </w:pPr>
      <w:r w:rsidRPr="00953E4D">
        <w:t>povprečna ocena študija (1 točka),</w:t>
      </w:r>
    </w:p>
    <w:p w14:paraId="54281DB7" w14:textId="77777777" w:rsidR="00DA24B3" w:rsidRPr="00953E4D" w:rsidRDefault="00DA24B3" w:rsidP="00DA24B3">
      <w:pPr>
        <w:pStyle w:val="Odstavekseznama"/>
        <w:numPr>
          <w:ilvl w:val="0"/>
          <w:numId w:val="8"/>
        </w:numPr>
        <w:spacing w:after="0" w:line="240" w:lineRule="auto"/>
        <w:ind w:left="795" w:hanging="3"/>
        <w:jc w:val="both"/>
      </w:pPr>
      <w:r w:rsidRPr="00953E4D">
        <w:t>znanje tujega jezika (1 točka),</w:t>
      </w:r>
    </w:p>
    <w:p w14:paraId="2208CBA6" w14:textId="5DB4881D" w:rsidR="00DA24B3" w:rsidRPr="00953E4D" w:rsidRDefault="00DA24B3" w:rsidP="00DA24B3">
      <w:pPr>
        <w:pStyle w:val="Odstavekseznama"/>
        <w:numPr>
          <w:ilvl w:val="0"/>
          <w:numId w:val="8"/>
        </w:numPr>
        <w:spacing w:after="0" w:line="240" w:lineRule="auto"/>
        <w:ind w:left="795" w:hanging="3"/>
        <w:jc w:val="both"/>
      </w:pPr>
      <w:r w:rsidRPr="00953E4D">
        <w:t>po potrebi intervju (2 točka)</w:t>
      </w:r>
      <w:r w:rsidR="00817F24" w:rsidRPr="00953E4D">
        <w:t>,</w:t>
      </w:r>
    </w:p>
    <w:p w14:paraId="53BEA616" w14:textId="5A4A75AE" w:rsidR="00817F24" w:rsidRPr="00953E4D" w:rsidRDefault="00817F24" w:rsidP="00817F24">
      <w:pPr>
        <w:pStyle w:val="Odstavekseznama"/>
        <w:numPr>
          <w:ilvl w:val="0"/>
          <w:numId w:val="8"/>
        </w:numPr>
        <w:spacing w:after="0" w:line="240" w:lineRule="auto"/>
        <w:ind w:left="795" w:hanging="3"/>
        <w:jc w:val="both"/>
      </w:pPr>
      <w:r w:rsidRPr="00953E4D">
        <w:t>študenti z manj priložnostmi (do 2 točki).</w:t>
      </w:r>
    </w:p>
    <w:p w14:paraId="467974CC" w14:textId="77777777" w:rsidR="00DA24B3" w:rsidRPr="006E190B" w:rsidRDefault="00DA24B3" w:rsidP="00DA24B3">
      <w:pPr>
        <w:spacing w:after="0" w:line="240" w:lineRule="auto"/>
      </w:pPr>
    </w:p>
    <w:p w14:paraId="70EED322" w14:textId="34FE8014" w:rsidR="0026249F" w:rsidRDefault="00953E4D" w:rsidP="00DA24B3">
      <w:pPr>
        <w:spacing w:after="0" w:line="240" w:lineRule="auto"/>
      </w:pPr>
      <w:r w:rsidRPr="009E547D">
        <w:t>Izbirni postopek poteka pravično in transparentno.</w:t>
      </w:r>
      <w:r>
        <w:t xml:space="preserve"> V primeru večjega interesa, kot je na voljo mest za mobilnost, o</w:t>
      </w:r>
      <w:r w:rsidRPr="009E547D">
        <w:t xml:space="preserve"> izbiri kandidatov odloča Erasmus komisija</w:t>
      </w:r>
      <w:r>
        <w:t xml:space="preserve"> v sestavi: E+ koordinatorica, odgovorna prodekanja in dekanja</w:t>
      </w:r>
      <w:r w:rsidRPr="009E547D">
        <w:t>. Kandidati bodo o izbiri obveščeni s sklepom</w:t>
      </w:r>
      <w:r w:rsidR="00DA24B3">
        <w:t>.</w:t>
      </w:r>
    </w:p>
    <w:p w14:paraId="0588B70E" w14:textId="0D6BBFF6" w:rsidR="00953E4D" w:rsidRDefault="00953E4D">
      <w:pPr>
        <w:rPr>
          <w:rFonts w:eastAsiaTheme="majorEastAsia" w:cstheme="minorHAnsi"/>
          <w:b/>
          <w:sz w:val="28"/>
          <w:szCs w:val="28"/>
        </w:rPr>
      </w:pPr>
    </w:p>
    <w:p w14:paraId="5AE12F57" w14:textId="0993C8BD" w:rsidR="00DA24B3" w:rsidRPr="00DA24B3" w:rsidRDefault="00DA24B3" w:rsidP="00DA24B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Po izboru kandidatov</w:t>
      </w:r>
    </w:p>
    <w:p w14:paraId="16D4FE2B" w14:textId="77777777" w:rsidR="00DA24B3" w:rsidRPr="00DA24B3" w:rsidRDefault="00DA24B3" w:rsidP="00DA24B3"/>
    <w:p w14:paraId="0BE1FAF2" w14:textId="4C5043B1" w:rsidR="00DA24B3" w:rsidRDefault="00DA24B3" w:rsidP="00DA24B3">
      <w:pPr>
        <w:spacing w:after="0" w:line="240" w:lineRule="auto"/>
      </w:pPr>
      <w:r w:rsidRPr="006E190B">
        <w:t xml:space="preserve">Izbrani kandidati morajo s pomočjo Erasmus koordinatorice urediti potrebno dokumentacijo za organizacijo mobilnosti. </w:t>
      </w:r>
      <w:r w:rsidR="00953E4D">
        <w:t xml:space="preserve">B2 </w:t>
      </w:r>
      <w:r w:rsidRPr="006E190B">
        <w:t xml:space="preserve">VŠPV, institucija gostiteljica in študent pred pričetkom mobilnosti za študij sklenejo </w:t>
      </w:r>
      <w:r w:rsidRPr="006E190B">
        <w:rPr>
          <w:b/>
        </w:rPr>
        <w:t>študijski sporazum</w:t>
      </w:r>
      <w:r w:rsidRPr="006E190B">
        <w:t xml:space="preserve"> (</w:t>
      </w:r>
      <w:proofErr w:type="spellStart"/>
      <w:r w:rsidRPr="006E190B">
        <w:t>Learning</w:t>
      </w:r>
      <w:proofErr w:type="spellEnd"/>
      <w:r w:rsidRPr="006E190B">
        <w:t xml:space="preserve"> </w:t>
      </w:r>
      <w:proofErr w:type="spellStart"/>
      <w:r w:rsidRPr="006E190B">
        <w:t>Agreement</w:t>
      </w:r>
      <w:proofErr w:type="spellEnd"/>
      <w:r w:rsidRPr="006E190B">
        <w:t xml:space="preserve">). Šola in študent pred pričetkom mobilnosti skleneta </w:t>
      </w:r>
      <w:r w:rsidRPr="006E190B">
        <w:rPr>
          <w:b/>
        </w:rPr>
        <w:t>sporazum za dodelitev dotacije</w:t>
      </w:r>
      <w:r w:rsidRPr="006E190B">
        <w:t xml:space="preserve"> (Grant </w:t>
      </w:r>
      <w:proofErr w:type="spellStart"/>
      <w:r w:rsidRPr="006E190B">
        <w:t>Agreement</w:t>
      </w:r>
      <w:proofErr w:type="spellEnd"/>
      <w:r w:rsidRPr="006E190B">
        <w:t xml:space="preserve">). S sporazumom se dogovorijo študijske obveznosti v tujini, ki se po vrnitvi na </w:t>
      </w:r>
      <w:r w:rsidR="0045697E">
        <w:t xml:space="preserve">B2 </w:t>
      </w:r>
      <w:r w:rsidRPr="006E190B">
        <w:t xml:space="preserve">VŠPV priznajo in vpišejo v Prilogo k diplomi. </w:t>
      </w:r>
    </w:p>
    <w:p w14:paraId="7764BD53" w14:textId="77777777" w:rsidR="00DA24B3" w:rsidRPr="006E190B" w:rsidRDefault="00DA24B3" w:rsidP="00DA24B3">
      <w:pPr>
        <w:spacing w:after="0" w:line="240" w:lineRule="auto"/>
      </w:pPr>
    </w:p>
    <w:p w14:paraId="6EC007D2" w14:textId="77777777" w:rsidR="00DA24B3" w:rsidRPr="006E190B" w:rsidRDefault="00DA24B3" w:rsidP="00DA24B3">
      <w:pPr>
        <w:spacing w:after="0" w:line="240" w:lineRule="auto"/>
      </w:pPr>
      <w:r w:rsidRPr="006E190B">
        <w:t>Študent si mora pred odhodom v tujino urediti dodatno zdravstveno zavarovanje, evropsko kartico zdravstvenega zavarovanja</w:t>
      </w:r>
      <w:r>
        <w:t xml:space="preserve">, </w:t>
      </w:r>
      <w:r w:rsidRPr="006E190B">
        <w:t>nezgodno zavarovanje v tujini z asistenco veljavno v državi gostiteljici</w:t>
      </w:r>
      <w:r>
        <w:t>, po potrebi vizo</w:t>
      </w:r>
      <w:r w:rsidRPr="006E190B">
        <w:t>. Kopijo dokumentov dostavi koordinatorici.</w:t>
      </w:r>
    </w:p>
    <w:p w14:paraId="57F8E811" w14:textId="77777777" w:rsidR="00DA24B3" w:rsidRPr="006E190B" w:rsidRDefault="00DA24B3" w:rsidP="00DA24B3">
      <w:pPr>
        <w:spacing w:after="0" w:line="240" w:lineRule="auto"/>
      </w:pPr>
    </w:p>
    <w:p w14:paraId="02EBB9DC" w14:textId="77777777" w:rsidR="00DA24B3" w:rsidRDefault="00DA24B3" w:rsidP="00DA24B3">
      <w:pPr>
        <w:spacing w:after="0" w:line="240" w:lineRule="auto"/>
      </w:pPr>
      <w:r w:rsidRPr="006E190B">
        <w:t>Pred odhodom se študent udeleži pripravljalnih srečanj v sklopu Erasmus+ mobilnosti. V primeru neudeležbe na pripravljalnih pogovorih in nespoštovanja dogovorov, si šola pridržuje pravico do odvzema že dodeljene Erasmus+ dotacije.</w:t>
      </w:r>
    </w:p>
    <w:p w14:paraId="2135A6D2" w14:textId="77777777" w:rsidR="00464677" w:rsidRDefault="00464677" w:rsidP="00DA24B3">
      <w:pPr>
        <w:spacing w:after="0" w:line="240" w:lineRule="auto"/>
      </w:pPr>
    </w:p>
    <w:p w14:paraId="7969770D" w14:textId="77777777" w:rsidR="00DA24B3" w:rsidRDefault="00DA24B3" w:rsidP="00DA24B3">
      <w:pPr>
        <w:spacing w:after="0" w:line="240" w:lineRule="auto"/>
      </w:pPr>
    </w:p>
    <w:p w14:paraId="1E28B1D2" w14:textId="30FD562D" w:rsidR="00DA24B3" w:rsidRPr="00DA24B3" w:rsidRDefault="00DA24B3" w:rsidP="00DA24B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Po zaključeni mobilnosti</w:t>
      </w:r>
    </w:p>
    <w:p w14:paraId="3706E035" w14:textId="77777777" w:rsidR="00D019E0" w:rsidRPr="00417ED3" w:rsidRDefault="00D019E0" w:rsidP="00417ED3">
      <w:pPr>
        <w:spacing w:after="0" w:line="240" w:lineRule="auto"/>
        <w:jc w:val="both"/>
        <w:rPr>
          <w:rFonts w:cstheme="minorHAnsi"/>
        </w:rPr>
      </w:pPr>
    </w:p>
    <w:p w14:paraId="17A0C56D" w14:textId="77777777" w:rsidR="00DA24B3" w:rsidRPr="006E190B" w:rsidRDefault="00DA24B3" w:rsidP="00DA24B3">
      <w:pPr>
        <w:spacing w:after="0" w:line="240" w:lineRule="auto"/>
      </w:pPr>
      <w:r w:rsidRPr="006E190B">
        <w:t>Po uspešno zaključeni mobilnosti v roku 14 dni študent:</w:t>
      </w:r>
    </w:p>
    <w:p w14:paraId="0DC29A87" w14:textId="77777777" w:rsidR="00DA24B3" w:rsidRDefault="00DA24B3" w:rsidP="00DA24B3">
      <w:pPr>
        <w:numPr>
          <w:ilvl w:val="0"/>
          <w:numId w:val="12"/>
        </w:numPr>
        <w:spacing w:after="0" w:line="240" w:lineRule="auto"/>
        <w:jc w:val="both"/>
      </w:pPr>
      <w:r w:rsidRPr="006E190B">
        <w:t>izpolni spletni vprašalnik iz poročevalskega sistema</w:t>
      </w:r>
      <w:r>
        <w:t xml:space="preserve"> Evropske komisije</w:t>
      </w:r>
      <w:r w:rsidRPr="006E190B">
        <w:t xml:space="preserve">, ki ga prejme na svoj e-naslov, </w:t>
      </w:r>
    </w:p>
    <w:p w14:paraId="38330823" w14:textId="77777777" w:rsidR="00DA24B3" w:rsidRPr="006E190B" w:rsidRDefault="00DA24B3" w:rsidP="00DA24B3">
      <w:pPr>
        <w:numPr>
          <w:ilvl w:val="0"/>
          <w:numId w:val="12"/>
        </w:numPr>
        <w:spacing w:after="0" w:line="240" w:lineRule="auto"/>
        <w:jc w:val="both"/>
      </w:pPr>
      <w:r>
        <w:t xml:space="preserve">odda </w:t>
      </w:r>
      <w:r w:rsidRPr="006E190B">
        <w:t xml:space="preserve">zaključno dokumentacijo </w:t>
      </w:r>
      <w:r>
        <w:t>Erasmus koordinatorici</w:t>
      </w:r>
      <w:r w:rsidRPr="006E190B">
        <w:t xml:space="preserve">, ki vključuje: </w:t>
      </w:r>
    </w:p>
    <w:p w14:paraId="18CBF744" w14:textId="77777777" w:rsidR="00DA24B3" w:rsidRPr="006E190B" w:rsidRDefault="00DA24B3" w:rsidP="00DA24B3">
      <w:pPr>
        <w:pStyle w:val="Odstavekseznama"/>
        <w:numPr>
          <w:ilvl w:val="1"/>
          <w:numId w:val="8"/>
        </w:numPr>
        <w:spacing w:after="0" w:line="240" w:lineRule="auto"/>
        <w:jc w:val="both"/>
      </w:pPr>
      <w:r w:rsidRPr="006E190B">
        <w:t>potrdilo o opravljenih študijskih obveznostih z zapisanim obdobjem trajanja mobilnosti;</w:t>
      </w:r>
    </w:p>
    <w:p w14:paraId="63D9A94B" w14:textId="51F2DB61" w:rsidR="00DA24B3" w:rsidRDefault="00DA24B3" w:rsidP="00DA24B3">
      <w:pPr>
        <w:pStyle w:val="Odstavekseznama"/>
        <w:numPr>
          <w:ilvl w:val="1"/>
          <w:numId w:val="8"/>
        </w:numPr>
        <w:spacing w:after="0" w:line="240" w:lineRule="auto"/>
        <w:jc w:val="both"/>
      </w:pPr>
      <w:proofErr w:type="spellStart"/>
      <w:r w:rsidRPr="006E190B">
        <w:t>evalvacijsko</w:t>
      </w:r>
      <w:proofErr w:type="spellEnd"/>
      <w:r w:rsidRPr="006E190B">
        <w:t xml:space="preserve"> poročilo, v katerem zapiše vtise o mobilnosti v namene promocije Erasmus+ mobilnosti</w:t>
      </w:r>
      <w:r w:rsidR="00953E4D">
        <w:t>, ko ga B2 VŠPV zaprosi.</w:t>
      </w:r>
    </w:p>
    <w:p w14:paraId="304087ED" w14:textId="77777777" w:rsidR="00DA24B3" w:rsidRPr="006E190B" w:rsidRDefault="00DA24B3" w:rsidP="00DA24B3">
      <w:pPr>
        <w:pStyle w:val="Odstavekseznama"/>
        <w:spacing w:after="0" w:line="240" w:lineRule="auto"/>
        <w:ind w:left="0"/>
      </w:pPr>
    </w:p>
    <w:p w14:paraId="55A8A584" w14:textId="444254CE" w:rsidR="00417ED3" w:rsidRDefault="00DA24B3" w:rsidP="00DA24B3">
      <w:pPr>
        <w:spacing w:after="0" w:line="240" w:lineRule="auto"/>
        <w:jc w:val="both"/>
      </w:pPr>
      <w:r w:rsidRPr="006E190B">
        <w:t xml:space="preserve">Če kandidat ne odda ustrezne dokumentacije, si </w:t>
      </w:r>
      <w:r w:rsidR="0045697E">
        <w:t xml:space="preserve">B2 </w:t>
      </w:r>
      <w:r w:rsidRPr="006E190B">
        <w:t>VŠPV pridržuje pravico, da lahko od posameznika zahteva delno ali v celoti povrnjeno dotacijo</w:t>
      </w:r>
    </w:p>
    <w:p w14:paraId="243E66B7" w14:textId="77777777" w:rsidR="00DA24B3" w:rsidRDefault="00DA24B3" w:rsidP="00DA24B3">
      <w:pPr>
        <w:spacing w:after="0" w:line="240" w:lineRule="auto"/>
        <w:jc w:val="both"/>
      </w:pPr>
    </w:p>
    <w:p w14:paraId="59AF26FF" w14:textId="77777777" w:rsidR="00DA24B3" w:rsidRPr="00417ED3" w:rsidRDefault="00DA24B3" w:rsidP="00DA24B3">
      <w:pPr>
        <w:spacing w:after="0" w:line="240" w:lineRule="auto"/>
        <w:jc w:val="both"/>
        <w:rPr>
          <w:rFonts w:cstheme="minorHAnsi"/>
        </w:rPr>
      </w:pPr>
    </w:p>
    <w:p w14:paraId="2CDA5572" w14:textId="722A9B90" w:rsidR="00F9416D" w:rsidRPr="00DA24B3" w:rsidRDefault="00F9416D" w:rsidP="00417ED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 w:rsidRPr="00DA24B3">
        <w:rPr>
          <w:rFonts w:cstheme="minorHAnsi"/>
          <w:szCs w:val="28"/>
        </w:rPr>
        <w:t>Ugovor</w:t>
      </w:r>
    </w:p>
    <w:p w14:paraId="2D0C3D13" w14:textId="77777777" w:rsidR="00417ED3" w:rsidRDefault="00417ED3" w:rsidP="00417ED3">
      <w:pPr>
        <w:spacing w:after="0" w:line="240" w:lineRule="auto"/>
        <w:jc w:val="both"/>
        <w:rPr>
          <w:rFonts w:cstheme="minorHAnsi"/>
        </w:rPr>
      </w:pPr>
    </w:p>
    <w:p w14:paraId="0688891D" w14:textId="683F913B" w:rsidR="00DA24B3" w:rsidRDefault="00DA24B3" w:rsidP="00DA24B3">
      <w:pPr>
        <w:spacing w:after="0" w:line="240" w:lineRule="auto"/>
      </w:pPr>
      <w:bookmarkStart w:id="0" w:name="_Hlk21090074"/>
      <w:r w:rsidRPr="006E190B">
        <w:t xml:space="preserve">Za ugovore in pritožbe v zvezi z nejasnostmi v postopku izbora ali mobilnosti same je prvostopenjski organ </w:t>
      </w:r>
      <w:r w:rsidR="00953E4D">
        <w:t xml:space="preserve">B2 </w:t>
      </w:r>
      <w:r w:rsidRPr="006E190B">
        <w:t xml:space="preserve">VŠPV Erasmus komisija. Vloge z ugovorom sprejema </w:t>
      </w:r>
      <w:r>
        <w:t>Erasmus koordinatorica</w:t>
      </w:r>
      <w:r w:rsidRPr="006E190B">
        <w:t>. Ugovor je potrebno poslati v roku 8 dni od prejetega sklepa o mobilnosti.</w:t>
      </w:r>
      <w:bookmarkEnd w:id="0"/>
    </w:p>
    <w:p w14:paraId="5E3B32F4" w14:textId="79B00B84" w:rsidR="00953E4D" w:rsidRDefault="00953E4D">
      <w:pPr>
        <w:rPr>
          <w:rFonts w:eastAsiaTheme="majorEastAsia" w:cstheme="minorHAnsi"/>
          <w:b/>
          <w:sz w:val="28"/>
          <w:szCs w:val="28"/>
        </w:rPr>
      </w:pPr>
    </w:p>
    <w:p w14:paraId="02A3C457" w14:textId="24C96BD9" w:rsidR="005C1741" w:rsidRPr="00DA24B3" w:rsidRDefault="00953E4D" w:rsidP="00417ED3">
      <w:pPr>
        <w:pStyle w:val="Naslov1"/>
        <w:numPr>
          <w:ilvl w:val="0"/>
          <w:numId w:val="5"/>
        </w:numPr>
        <w:spacing w:before="0" w:line="240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</w:t>
      </w:r>
      <w:r w:rsidR="005C1741" w:rsidRPr="00DA24B3">
        <w:rPr>
          <w:rFonts w:cstheme="minorHAnsi"/>
          <w:szCs w:val="28"/>
        </w:rPr>
        <w:t>Ostale informacije</w:t>
      </w:r>
    </w:p>
    <w:p w14:paraId="5260761C" w14:textId="77777777" w:rsidR="00417ED3" w:rsidRPr="00417ED3" w:rsidRDefault="00417ED3" w:rsidP="00417ED3">
      <w:pPr>
        <w:spacing w:after="0" w:line="240" w:lineRule="auto"/>
        <w:jc w:val="both"/>
        <w:rPr>
          <w:rFonts w:cstheme="minorHAnsi"/>
        </w:rPr>
      </w:pPr>
    </w:p>
    <w:p w14:paraId="0352FDD7" w14:textId="77777777" w:rsidR="00DA24B3" w:rsidRPr="001673B7" w:rsidRDefault="00DA24B3" w:rsidP="00DA24B3">
      <w:pPr>
        <w:spacing w:after="0" w:line="240" w:lineRule="auto"/>
      </w:pPr>
      <w:r w:rsidRPr="001673B7">
        <w:t>Za vsa dodatna pojasnila kontaktirajte Erasmus koordinatorico Špelo (</w:t>
      </w:r>
      <w:hyperlink r:id="rId10" w:history="1">
        <w:r w:rsidRPr="001673B7">
          <w:rPr>
            <w:rStyle w:val="Hiperpovezava"/>
          </w:rPr>
          <w:t>spela.pregl@vspv.si</w:t>
        </w:r>
      </w:hyperlink>
      <w:r w:rsidRPr="001673B7">
        <w:t xml:space="preserve">, 01 </w:t>
      </w:r>
      <w:r>
        <w:t>2444</w:t>
      </w:r>
      <w:r w:rsidRPr="001673B7">
        <w:t xml:space="preserve"> </w:t>
      </w:r>
      <w:r>
        <w:t>209</w:t>
      </w:r>
      <w:r w:rsidRPr="001673B7">
        <w:t xml:space="preserve">) ali </w:t>
      </w:r>
      <w:proofErr w:type="spellStart"/>
      <w:r w:rsidRPr="001673B7">
        <w:t>prodekanjo</w:t>
      </w:r>
      <w:proofErr w:type="spellEnd"/>
      <w:r w:rsidRPr="001673B7">
        <w:t xml:space="preserve"> Katarino (</w:t>
      </w:r>
      <w:proofErr w:type="spellStart"/>
      <w:r w:rsidRPr="003A5C2A">
        <w:rPr>
          <w:rStyle w:val="Hiperpovezava"/>
        </w:rPr>
        <w:t>katarina.askerc@vspv.si</w:t>
      </w:r>
      <w:proofErr w:type="spellEnd"/>
      <w:r w:rsidRPr="001673B7">
        <w:t>).</w:t>
      </w:r>
    </w:p>
    <w:p w14:paraId="21E0CA51" w14:textId="77777777" w:rsidR="00DA24B3" w:rsidRPr="006E190B" w:rsidRDefault="00DA24B3" w:rsidP="00DA24B3">
      <w:pPr>
        <w:spacing w:after="0" w:line="240" w:lineRule="auto"/>
      </w:pPr>
    </w:p>
    <w:p w14:paraId="47BE5B85" w14:textId="77777777" w:rsidR="00DA24B3" w:rsidRPr="006E190B" w:rsidRDefault="00DA24B3" w:rsidP="00DA24B3">
      <w:pPr>
        <w:spacing w:after="0" w:line="240" w:lineRule="auto"/>
      </w:pPr>
    </w:p>
    <w:p w14:paraId="6CC9E2D8" w14:textId="5C298E5A" w:rsidR="00DA24B3" w:rsidRPr="006E190B" w:rsidRDefault="00DA24B3" w:rsidP="00DA24B3">
      <w:pPr>
        <w:spacing w:after="0" w:line="240" w:lineRule="auto"/>
      </w:pPr>
      <w:r w:rsidRPr="006E190B">
        <w:t xml:space="preserve">Ljubljana, </w:t>
      </w:r>
      <w:r w:rsidR="00953E4D">
        <w:t>12. 8. 2024</w:t>
      </w:r>
    </w:p>
    <w:p w14:paraId="18105708" w14:textId="77777777" w:rsidR="00DA24B3" w:rsidRPr="006E190B" w:rsidRDefault="00DA24B3" w:rsidP="00DA24B3">
      <w:pPr>
        <w:spacing w:after="0" w:line="240" w:lineRule="auto"/>
      </w:pPr>
    </w:p>
    <w:p w14:paraId="64C7D2AD" w14:textId="77777777" w:rsidR="00DA24B3" w:rsidRDefault="00DA24B3" w:rsidP="00DA24B3">
      <w:pPr>
        <w:spacing w:after="0" w:line="240" w:lineRule="auto"/>
      </w:pPr>
    </w:p>
    <w:p w14:paraId="0D142F12" w14:textId="77777777" w:rsidR="0045697E" w:rsidRPr="006E190B" w:rsidRDefault="0045697E" w:rsidP="00DA24B3">
      <w:pPr>
        <w:spacing w:after="0" w:line="240" w:lineRule="auto"/>
      </w:pPr>
    </w:p>
    <w:p w14:paraId="60EA1FAC" w14:textId="77777777" w:rsidR="00DA24B3" w:rsidRPr="006E190B" w:rsidRDefault="00DA24B3" w:rsidP="00DA24B3">
      <w:pPr>
        <w:spacing w:after="0" w:line="240" w:lineRule="auto"/>
      </w:pPr>
    </w:p>
    <w:p w14:paraId="10CDF336" w14:textId="77777777" w:rsidR="00DA24B3" w:rsidRPr="006E190B" w:rsidRDefault="00DA24B3" w:rsidP="00DA24B3">
      <w:pPr>
        <w:spacing w:after="0" w:line="240" w:lineRule="auto"/>
      </w:pPr>
      <w:r w:rsidRPr="006E190B">
        <w:t>Priloge:</w:t>
      </w:r>
    </w:p>
    <w:p w14:paraId="3662D5F7" w14:textId="31CD4581" w:rsidR="00DF6F98" w:rsidRPr="0045697E" w:rsidRDefault="00DA24B3" w:rsidP="00DA24B3">
      <w:pPr>
        <w:pStyle w:val="Odstavekseznama"/>
        <w:numPr>
          <w:ilvl w:val="0"/>
          <w:numId w:val="9"/>
        </w:numPr>
        <w:spacing w:after="0" w:line="240" w:lineRule="auto"/>
        <w:ind w:left="795" w:hanging="3"/>
        <w:jc w:val="both"/>
      </w:pPr>
      <w:r w:rsidRPr="006E190B">
        <w:t>Prijavnica za Erasmus+ mobilnost</w:t>
      </w:r>
    </w:p>
    <w:sectPr w:rsidR="00DF6F98" w:rsidRPr="0045697E" w:rsidSect="00310949">
      <w:headerReference w:type="default" r:id="rId11"/>
      <w:footerReference w:type="default" r:id="rId12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C1C4" w14:textId="77777777" w:rsidR="00CC6A89" w:rsidRDefault="00CC6A89" w:rsidP="00CC6A89">
      <w:pPr>
        <w:spacing w:after="0" w:line="240" w:lineRule="auto"/>
      </w:pPr>
      <w:r>
        <w:separator/>
      </w:r>
    </w:p>
  </w:endnote>
  <w:endnote w:type="continuationSeparator" w:id="0">
    <w:p w14:paraId="67F8F704" w14:textId="77777777" w:rsidR="00CC6A89" w:rsidRDefault="00CC6A89" w:rsidP="00CC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D583" w14:textId="390E4EC2" w:rsidR="000D3C47" w:rsidRDefault="000D3C47" w:rsidP="000D3C47">
    <w:pPr>
      <w:pStyle w:val="Noga"/>
    </w:pPr>
    <w:r w:rsidRPr="006B57D7">
      <w:rPr>
        <w:noProof/>
        <w:lang w:eastAsia="sl-SI"/>
      </w:rPr>
      <w:drawing>
        <wp:inline distT="0" distB="0" distL="0" distR="0" wp14:anchorId="74F03892" wp14:editId="3C114A19">
          <wp:extent cx="2270562" cy="647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339" cy="66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414E" w14:textId="77777777" w:rsidR="00CC6A89" w:rsidRDefault="00CC6A89" w:rsidP="00CC6A89">
      <w:pPr>
        <w:spacing w:after="0" w:line="240" w:lineRule="auto"/>
      </w:pPr>
      <w:r>
        <w:separator/>
      </w:r>
    </w:p>
  </w:footnote>
  <w:footnote w:type="continuationSeparator" w:id="0">
    <w:p w14:paraId="5E9FCCD0" w14:textId="77777777" w:rsidR="00CC6A89" w:rsidRDefault="00CC6A89" w:rsidP="00CC6A89">
      <w:pPr>
        <w:spacing w:after="0" w:line="240" w:lineRule="auto"/>
      </w:pPr>
      <w:r>
        <w:continuationSeparator/>
      </w:r>
    </w:p>
  </w:footnote>
  <w:footnote w:id="1">
    <w:p w14:paraId="2668A230" w14:textId="77777777" w:rsidR="008126BD" w:rsidRPr="00071AAB" w:rsidRDefault="008126BD" w:rsidP="008126BD">
      <w:pPr>
        <w:pStyle w:val="Sprotnaopomba-besedilo"/>
        <w:rPr>
          <w:sz w:val="18"/>
          <w:szCs w:val="18"/>
        </w:rPr>
      </w:pPr>
      <w:r w:rsidRPr="00071AAB">
        <w:rPr>
          <w:rStyle w:val="Sprotnaopomba-sklic"/>
          <w:sz w:val="18"/>
          <w:szCs w:val="18"/>
        </w:rPr>
        <w:footnoteRef/>
      </w:r>
      <w:r w:rsidRPr="00071AAB">
        <w:rPr>
          <w:sz w:val="18"/>
          <w:szCs w:val="18"/>
        </w:rPr>
        <w:t xml:space="preserve"> Razdalja se izračuna s kalkulatorjem razdalje, ki ga podpira Evropska komisija (</w:t>
      </w:r>
      <w:hyperlink r:id="rId1" w:history="1">
        <w:r w:rsidRPr="00071AAB">
          <w:rPr>
            <w:rStyle w:val="Hiperpovezava"/>
            <w:sz w:val="18"/>
            <w:szCs w:val="18"/>
          </w:rPr>
          <w:t>http://ec.europa.eu/programmes/erasmus-plus/tools/distance_sl.htm</w:t>
        </w:r>
      </w:hyperlink>
      <w:r w:rsidRPr="00071AAB">
        <w:rPr>
          <w:sz w:val="18"/>
          <w:szCs w:val="18"/>
        </w:rPr>
        <w:t>). Razdaljo enosmerne poti je treba uporabiti za izračun zneska dotacije EU za kritje povratne poti.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C1DF" w14:textId="62208D83" w:rsidR="00CC6A89" w:rsidRDefault="00953E4D" w:rsidP="00C2222E">
    <w:pPr>
      <w:pStyle w:val="Glava"/>
      <w:jc w:val="right"/>
    </w:pPr>
    <w:r w:rsidRPr="00C32E16">
      <w:rPr>
        <w:noProof/>
      </w:rPr>
      <w:drawing>
        <wp:inline distT="0" distB="0" distL="0" distR="0" wp14:anchorId="52023083" wp14:editId="629AA7B4">
          <wp:extent cx="2124075" cy="628650"/>
          <wp:effectExtent l="0" t="0" r="9525" b="0"/>
          <wp:docPr id="1981020159" name="Slika 1" descr="Slika, ki vsebuje besede besedilo, pisava, grafik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, ki vsebuje besede besedilo, pisava, grafik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821"/>
    <w:multiLevelType w:val="hybridMultilevel"/>
    <w:tmpl w:val="23D06E58"/>
    <w:lvl w:ilvl="0" w:tplc="4726DC46">
      <w:start w:val="7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14DC"/>
    <w:multiLevelType w:val="hybridMultilevel"/>
    <w:tmpl w:val="F6D03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A7475"/>
    <w:multiLevelType w:val="multilevel"/>
    <w:tmpl w:val="E7C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366D9"/>
    <w:multiLevelType w:val="hybridMultilevel"/>
    <w:tmpl w:val="77F68B50"/>
    <w:lvl w:ilvl="0" w:tplc="10E0C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5BF4"/>
    <w:multiLevelType w:val="hybridMultilevel"/>
    <w:tmpl w:val="5E74EC5E"/>
    <w:lvl w:ilvl="0" w:tplc="F670DD2C">
      <w:start w:val="5"/>
      <w:numFmt w:val="bullet"/>
      <w:lvlText w:val="-"/>
      <w:lvlJc w:val="left"/>
      <w:pPr>
        <w:ind w:left="533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 w15:restartNumberingAfterBreak="0">
    <w:nsid w:val="28EF1999"/>
    <w:multiLevelType w:val="hybridMultilevel"/>
    <w:tmpl w:val="6902D976"/>
    <w:lvl w:ilvl="0" w:tplc="10E0C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71961"/>
    <w:multiLevelType w:val="hybridMultilevel"/>
    <w:tmpl w:val="AB2EA73E"/>
    <w:lvl w:ilvl="0" w:tplc="15EA0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B15D6"/>
    <w:multiLevelType w:val="multilevel"/>
    <w:tmpl w:val="E3667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6781E23"/>
    <w:multiLevelType w:val="hybridMultilevel"/>
    <w:tmpl w:val="019068D6"/>
    <w:lvl w:ilvl="0" w:tplc="AB705D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6D9"/>
    <w:multiLevelType w:val="hybridMultilevel"/>
    <w:tmpl w:val="87E6F92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61F6"/>
    <w:multiLevelType w:val="multilevel"/>
    <w:tmpl w:val="1C6EF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AB95DD2"/>
    <w:multiLevelType w:val="hybridMultilevel"/>
    <w:tmpl w:val="F9386DBE"/>
    <w:lvl w:ilvl="0" w:tplc="10E0C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993759">
    <w:abstractNumId w:val="8"/>
  </w:num>
  <w:num w:numId="2" w16cid:durableId="1040667376">
    <w:abstractNumId w:val="9"/>
  </w:num>
  <w:num w:numId="3" w16cid:durableId="1663964466">
    <w:abstractNumId w:val="2"/>
  </w:num>
  <w:num w:numId="4" w16cid:durableId="389381487">
    <w:abstractNumId w:val="3"/>
  </w:num>
  <w:num w:numId="5" w16cid:durableId="1272008251">
    <w:abstractNumId w:val="10"/>
  </w:num>
  <w:num w:numId="6" w16cid:durableId="1533152608">
    <w:abstractNumId w:val="1"/>
  </w:num>
  <w:num w:numId="7" w16cid:durableId="31270878">
    <w:abstractNumId w:val="5"/>
  </w:num>
  <w:num w:numId="8" w16cid:durableId="756949080">
    <w:abstractNumId w:val="11"/>
  </w:num>
  <w:num w:numId="9" w16cid:durableId="1838569147">
    <w:abstractNumId w:val="6"/>
  </w:num>
  <w:num w:numId="10" w16cid:durableId="724835797">
    <w:abstractNumId w:val="0"/>
  </w:num>
  <w:num w:numId="11" w16cid:durableId="2083991262">
    <w:abstractNumId w:val="7"/>
  </w:num>
  <w:num w:numId="12" w16cid:durableId="187118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89"/>
    <w:rsid w:val="00035F9B"/>
    <w:rsid w:val="00066DF4"/>
    <w:rsid w:val="000852BB"/>
    <w:rsid w:val="000A14AB"/>
    <w:rsid w:val="000C2E3A"/>
    <w:rsid w:val="000C3BD7"/>
    <w:rsid w:val="000C5806"/>
    <w:rsid w:val="000D3C47"/>
    <w:rsid w:val="0013265E"/>
    <w:rsid w:val="001452F3"/>
    <w:rsid w:val="00163AA8"/>
    <w:rsid w:val="00195BA9"/>
    <w:rsid w:val="001A42CC"/>
    <w:rsid w:val="001B0047"/>
    <w:rsid w:val="001B54C8"/>
    <w:rsid w:val="001D1F4B"/>
    <w:rsid w:val="001E3286"/>
    <w:rsid w:val="0026249F"/>
    <w:rsid w:val="00297BDC"/>
    <w:rsid w:val="002A7D53"/>
    <w:rsid w:val="002B264B"/>
    <w:rsid w:val="002B49F4"/>
    <w:rsid w:val="002E1D05"/>
    <w:rsid w:val="00310949"/>
    <w:rsid w:val="00346A37"/>
    <w:rsid w:val="00353773"/>
    <w:rsid w:val="00355116"/>
    <w:rsid w:val="00395070"/>
    <w:rsid w:val="003A5C2A"/>
    <w:rsid w:val="003C6EAC"/>
    <w:rsid w:val="00407DB2"/>
    <w:rsid w:val="0041378A"/>
    <w:rsid w:val="00417ED3"/>
    <w:rsid w:val="0045697E"/>
    <w:rsid w:val="00460DEE"/>
    <w:rsid w:val="00464677"/>
    <w:rsid w:val="00471902"/>
    <w:rsid w:val="00471B76"/>
    <w:rsid w:val="004919BD"/>
    <w:rsid w:val="004F4220"/>
    <w:rsid w:val="00512909"/>
    <w:rsid w:val="00533794"/>
    <w:rsid w:val="00562D41"/>
    <w:rsid w:val="00595B88"/>
    <w:rsid w:val="005C1741"/>
    <w:rsid w:val="005E2361"/>
    <w:rsid w:val="005E2E4D"/>
    <w:rsid w:val="00612743"/>
    <w:rsid w:val="00620891"/>
    <w:rsid w:val="00632B0E"/>
    <w:rsid w:val="00677F0C"/>
    <w:rsid w:val="00682BDA"/>
    <w:rsid w:val="006B57D7"/>
    <w:rsid w:val="006D0D36"/>
    <w:rsid w:val="006E1CE1"/>
    <w:rsid w:val="006E6976"/>
    <w:rsid w:val="0072030D"/>
    <w:rsid w:val="00726D22"/>
    <w:rsid w:val="0075512D"/>
    <w:rsid w:val="00786D0A"/>
    <w:rsid w:val="007969E8"/>
    <w:rsid w:val="007A5425"/>
    <w:rsid w:val="008126BD"/>
    <w:rsid w:val="008146A3"/>
    <w:rsid w:val="00817F24"/>
    <w:rsid w:val="008231BC"/>
    <w:rsid w:val="0087517F"/>
    <w:rsid w:val="008755EE"/>
    <w:rsid w:val="008A15C2"/>
    <w:rsid w:val="008A1931"/>
    <w:rsid w:val="008E4230"/>
    <w:rsid w:val="0094696F"/>
    <w:rsid w:val="00953E4D"/>
    <w:rsid w:val="00957110"/>
    <w:rsid w:val="00966E63"/>
    <w:rsid w:val="009A09F6"/>
    <w:rsid w:val="009A2E90"/>
    <w:rsid w:val="009A2EC3"/>
    <w:rsid w:val="009D2242"/>
    <w:rsid w:val="00A95DBF"/>
    <w:rsid w:val="00AA189E"/>
    <w:rsid w:val="00AB0C9A"/>
    <w:rsid w:val="00AD0749"/>
    <w:rsid w:val="00B535CB"/>
    <w:rsid w:val="00B7629C"/>
    <w:rsid w:val="00B85876"/>
    <w:rsid w:val="00B9524C"/>
    <w:rsid w:val="00B95F00"/>
    <w:rsid w:val="00BA48A9"/>
    <w:rsid w:val="00BE771C"/>
    <w:rsid w:val="00C1202B"/>
    <w:rsid w:val="00C2222E"/>
    <w:rsid w:val="00C302B8"/>
    <w:rsid w:val="00CA2E53"/>
    <w:rsid w:val="00CB0C11"/>
    <w:rsid w:val="00CC6A89"/>
    <w:rsid w:val="00CE20FF"/>
    <w:rsid w:val="00D019E0"/>
    <w:rsid w:val="00D46E31"/>
    <w:rsid w:val="00D72C78"/>
    <w:rsid w:val="00D8792D"/>
    <w:rsid w:val="00DA24B3"/>
    <w:rsid w:val="00DC5F77"/>
    <w:rsid w:val="00DD64E4"/>
    <w:rsid w:val="00DE52A1"/>
    <w:rsid w:val="00DF6F98"/>
    <w:rsid w:val="00E30DAD"/>
    <w:rsid w:val="00E70F21"/>
    <w:rsid w:val="00E77C2A"/>
    <w:rsid w:val="00EB63E5"/>
    <w:rsid w:val="00F06725"/>
    <w:rsid w:val="00F3331A"/>
    <w:rsid w:val="00F752D4"/>
    <w:rsid w:val="00F9416D"/>
    <w:rsid w:val="00FC57BD"/>
    <w:rsid w:val="00FC7A8A"/>
    <w:rsid w:val="00F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9B22CB9"/>
  <w15:chartTrackingRefBased/>
  <w15:docId w15:val="{F23BAD1B-9AE8-4952-9956-1E43A47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46E31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6A89"/>
  </w:style>
  <w:style w:type="paragraph" w:styleId="Noga">
    <w:name w:val="footer"/>
    <w:basedOn w:val="Navaden"/>
    <w:link w:val="NogaZnak"/>
    <w:uiPriority w:val="99"/>
    <w:unhideWhenUsed/>
    <w:rsid w:val="00CC6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6A89"/>
  </w:style>
  <w:style w:type="table" w:styleId="Tabelamrea">
    <w:name w:val="Table Grid"/>
    <w:basedOn w:val="Navadnatabela"/>
    <w:uiPriority w:val="39"/>
    <w:rsid w:val="00D8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752D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C1741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35F9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35F9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35F9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5F9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5F9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5F9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2E90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46E31"/>
    <w:rPr>
      <w:rFonts w:eastAsiaTheme="majorEastAsia" w:cstheme="majorBidi"/>
      <w:b/>
      <w:sz w:val="28"/>
      <w:szCs w:val="32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126B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126B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126BD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EB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a.pregl@vsp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ela.pregl@vsp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spv.si/sl/mednarodno-sodelovanje/partnerske-institucij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tools/distance_s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117F1F-A884-4F51-9FE0-04F88939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1269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Vaupotič</dc:creator>
  <cp:keywords/>
  <dc:description/>
  <cp:lastModifiedBy>Špela Pregl</cp:lastModifiedBy>
  <cp:revision>28</cp:revision>
  <cp:lastPrinted>2022-04-04T07:41:00Z</cp:lastPrinted>
  <dcterms:created xsi:type="dcterms:W3CDTF">2020-10-14T10:55:00Z</dcterms:created>
  <dcterms:modified xsi:type="dcterms:W3CDTF">2024-10-08T12:02:00Z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7a223f9bbe4cbe794725afdd2110d89de13acdd140a10eadb300153bc5e96aaa</vt:lpwstr>
  </property>
</Properties>
</file>