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7C06" w14:textId="2BEF4A9E" w:rsidR="00F263B6" w:rsidRDefault="008B6182" w:rsidP="00F263B6">
      <w:pPr>
        <w:spacing w:after="0" w:line="240" w:lineRule="auto"/>
        <w:jc w:val="center"/>
        <w:rPr>
          <w:rFonts w:cstheme="minorHAnsi"/>
          <w:b/>
          <w:sz w:val="28"/>
          <w:szCs w:val="28"/>
        </w:rPr>
      </w:pPr>
      <w:bookmarkStart w:id="0" w:name="_Hlk116472873"/>
      <w:r w:rsidRPr="00071AAB">
        <w:rPr>
          <w:rFonts w:cstheme="minorHAnsi"/>
          <w:b/>
          <w:sz w:val="28"/>
          <w:szCs w:val="28"/>
        </w:rPr>
        <w:t xml:space="preserve">Razpis za mobilnost osebja </w:t>
      </w:r>
      <w:r w:rsidR="00905AF9">
        <w:rPr>
          <w:rFonts w:cstheme="minorHAnsi"/>
          <w:b/>
          <w:sz w:val="28"/>
          <w:szCs w:val="28"/>
        </w:rPr>
        <w:t xml:space="preserve">do </w:t>
      </w:r>
      <w:r w:rsidR="002A6D23">
        <w:rPr>
          <w:rFonts w:cstheme="minorHAnsi"/>
          <w:b/>
          <w:sz w:val="28"/>
          <w:szCs w:val="28"/>
        </w:rPr>
        <w:t xml:space="preserve">2027 </w:t>
      </w:r>
      <w:r w:rsidRPr="00071AAB">
        <w:rPr>
          <w:rFonts w:cstheme="minorHAnsi"/>
          <w:b/>
          <w:sz w:val="28"/>
          <w:szCs w:val="28"/>
        </w:rPr>
        <w:t>v okviru programa</w:t>
      </w:r>
      <w:r w:rsidR="00F20B43">
        <w:rPr>
          <w:rFonts w:cstheme="minorHAnsi"/>
          <w:b/>
          <w:sz w:val="28"/>
          <w:szCs w:val="28"/>
        </w:rPr>
        <w:t xml:space="preserve"> </w:t>
      </w:r>
      <w:r w:rsidRPr="00071AAB">
        <w:rPr>
          <w:rFonts w:cstheme="minorHAnsi"/>
          <w:b/>
          <w:sz w:val="28"/>
          <w:szCs w:val="28"/>
        </w:rPr>
        <w:t>Erasmus+</w:t>
      </w:r>
      <w:r w:rsidR="00F263B6">
        <w:rPr>
          <w:rFonts w:cstheme="minorHAnsi"/>
          <w:b/>
          <w:sz w:val="28"/>
          <w:szCs w:val="28"/>
        </w:rPr>
        <w:t xml:space="preserve">: </w:t>
      </w:r>
    </w:p>
    <w:p w14:paraId="4D7E609F" w14:textId="5768F3D8" w:rsidR="008B6182" w:rsidRPr="00071AAB" w:rsidRDefault="00F263B6" w:rsidP="008B6182">
      <w:pPr>
        <w:spacing w:after="0" w:line="240" w:lineRule="auto"/>
        <w:jc w:val="center"/>
        <w:rPr>
          <w:rFonts w:cstheme="minorHAnsi"/>
          <w:b/>
          <w:sz w:val="28"/>
          <w:szCs w:val="28"/>
        </w:rPr>
      </w:pPr>
      <w:r>
        <w:rPr>
          <w:rFonts w:cstheme="minorHAnsi"/>
          <w:b/>
          <w:sz w:val="28"/>
          <w:szCs w:val="28"/>
        </w:rPr>
        <w:t>MOBILNOST IZVEN EU DRŽAV</w:t>
      </w:r>
    </w:p>
    <w:bookmarkEnd w:id="0"/>
    <w:p w14:paraId="2E4C21E2" w14:textId="3DA29672" w:rsidR="00A51160" w:rsidRDefault="00A51160" w:rsidP="00CE14D1">
      <w:pPr>
        <w:spacing w:after="0" w:line="240" w:lineRule="auto"/>
        <w:jc w:val="both"/>
        <w:rPr>
          <w:rFonts w:cstheme="minorHAnsi"/>
          <w:b/>
        </w:rPr>
      </w:pPr>
    </w:p>
    <w:p w14:paraId="217257E7" w14:textId="77777777" w:rsidR="00071AAB" w:rsidRPr="00071AAB" w:rsidRDefault="00071AAB" w:rsidP="00CE14D1">
      <w:pPr>
        <w:spacing w:after="0" w:line="240" w:lineRule="auto"/>
        <w:jc w:val="both"/>
        <w:rPr>
          <w:rFonts w:cstheme="minorHAnsi"/>
          <w:b/>
        </w:rPr>
      </w:pPr>
    </w:p>
    <w:p w14:paraId="1AAC6E2C" w14:textId="2C24A92F" w:rsidR="00071AAB" w:rsidRPr="00071AAB" w:rsidRDefault="008E3A8D" w:rsidP="00E6161A">
      <w:pPr>
        <w:pStyle w:val="Naslov1"/>
      </w:pPr>
      <w:r w:rsidRPr="00071AAB">
        <w:t>Opis</w:t>
      </w:r>
    </w:p>
    <w:p w14:paraId="22D4E192" w14:textId="014365D4" w:rsidR="00A51160" w:rsidRDefault="00C66B94" w:rsidP="00CE14D1">
      <w:pPr>
        <w:spacing w:after="0" w:line="240" w:lineRule="auto"/>
        <w:jc w:val="both"/>
        <w:rPr>
          <w:rFonts w:cstheme="minorHAnsi"/>
        </w:rPr>
      </w:pPr>
      <w:r w:rsidRPr="00071AAB">
        <w:rPr>
          <w:rFonts w:cstheme="minorHAnsi"/>
        </w:rPr>
        <w:t>Na podlagi razpis</w:t>
      </w:r>
      <w:r w:rsidR="00905AF9">
        <w:rPr>
          <w:rFonts w:cstheme="minorHAnsi"/>
        </w:rPr>
        <w:t>ov</w:t>
      </w:r>
      <w:r w:rsidRPr="00071AAB">
        <w:rPr>
          <w:rFonts w:cstheme="minorHAnsi"/>
        </w:rPr>
        <w:t xml:space="preserve"> programa Erasmus+ </w:t>
      </w:r>
      <w:r w:rsidR="00B8440D">
        <w:rPr>
          <w:rFonts w:cstheme="minorHAnsi"/>
        </w:rPr>
        <w:t>2022</w:t>
      </w:r>
      <w:r w:rsidR="002A6D23">
        <w:rPr>
          <w:rFonts w:cstheme="minorHAnsi"/>
        </w:rPr>
        <w:t>,</w:t>
      </w:r>
      <w:r w:rsidR="00F20B43">
        <w:rPr>
          <w:rFonts w:cstheme="minorHAnsi"/>
        </w:rPr>
        <w:t xml:space="preserve"> 2023</w:t>
      </w:r>
      <w:r w:rsidR="002A6D23">
        <w:rPr>
          <w:rFonts w:cstheme="minorHAnsi"/>
        </w:rPr>
        <w:t xml:space="preserve"> in 2024 </w:t>
      </w:r>
      <w:r w:rsidRPr="00071AAB">
        <w:rPr>
          <w:rFonts w:cstheme="minorHAnsi"/>
        </w:rPr>
        <w:t xml:space="preserve">ključni ukrep 1, ki ga je objavil </w:t>
      </w:r>
      <w:r w:rsidR="003D551D">
        <w:rPr>
          <w:rFonts w:cstheme="minorHAnsi"/>
        </w:rPr>
        <w:t xml:space="preserve">CMEPIUS </w:t>
      </w:r>
      <w:r w:rsidRPr="00071AAB">
        <w:rPr>
          <w:rFonts w:cstheme="minorHAnsi"/>
        </w:rPr>
        <w:t>na svoji spletni strani</w:t>
      </w:r>
      <w:r w:rsidR="00E0688C">
        <w:t>,</w:t>
      </w:r>
      <w:r w:rsidRPr="00071AAB">
        <w:rPr>
          <w:rFonts w:cstheme="minorHAnsi"/>
        </w:rPr>
        <w:t xml:space="preserve"> </w:t>
      </w:r>
      <w:r w:rsidR="004C6AD5" w:rsidRPr="00071AAB">
        <w:rPr>
          <w:rFonts w:cstheme="minorHAnsi"/>
        </w:rPr>
        <w:t>B2 Visoka šola za poslovne vede, zavod</w:t>
      </w:r>
      <w:r w:rsidR="000B114E" w:rsidRPr="00071AAB">
        <w:rPr>
          <w:rFonts w:cstheme="minorHAnsi"/>
        </w:rPr>
        <w:t xml:space="preserve"> (v nadaljevanju: </w:t>
      </w:r>
      <w:r w:rsidR="002A6D23">
        <w:rPr>
          <w:rFonts w:cstheme="minorHAnsi"/>
        </w:rPr>
        <w:t xml:space="preserve">B2 </w:t>
      </w:r>
      <w:r w:rsidR="000B114E" w:rsidRPr="00071AAB">
        <w:rPr>
          <w:rFonts w:cstheme="minorHAnsi"/>
        </w:rPr>
        <w:t>VŠPV)</w:t>
      </w:r>
      <w:r w:rsidR="008E5A4F" w:rsidRPr="00071AAB">
        <w:rPr>
          <w:rFonts w:cstheme="minorHAnsi"/>
        </w:rPr>
        <w:t>,</w:t>
      </w:r>
      <w:r w:rsidR="004C6AD5" w:rsidRPr="00071AAB">
        <w:rPr>
          <w:rFonts w:cstheme="minorHAnsi"/>
        </w:rPr>
        <w:t xml:space="preserve"> </w:t>
      </w:r>
      <w:r w:rsidRPr="00071AAB">
        <w:rPr>
          <w:rFonts w:cstheme="minorHAnsi"/>
        </w:rPr>
        <w:t xml:space="preserve">objavlja razpis za </w:t>
      </w:r>
      <w:r w:rsidR="004C6AD5" w:rsidRPr="00071AAB">
        <w:rPr>
          <w:rFonts w:cstheme="minorHAnsi"/>
        </w:rPr>
        <w:t xml:space="preserve">sofinanciranje </w:t>
      </w:r>
      <w:r w:rsidR="00B8440D" w:rsidRPr="00B8440D">
        <w:rPr>
          <w:rFonts w:cstheme="minorHAnsi"/>
          <w:b/>
          <w:bCs/>
        </w:rPr>
        <w:t>Erasmus</w:t>
      </w:r>
      <w:r w:rsidR="00B8440D">
        <w:rPr>
          <w:rFonts w:cstheme="minorHAnsi"/>
        </w:rPr>
        <w:t xml:space="preserve"> </w:t>
      </w:r>
      <w:r w:rsidR="004C6AD5" w:rsidRPr="0001449D">
        <w:rPr>
          <w:rFonts w:cstheme="minorHAnsi"/>
          <w:b/>
          <w:bCs/>
        </w:rPr>
        <w:t>mobilnosti osebja</w:t>
      </w:r>
      <w:r w:rsidR="00007CD7" w:rsidRPr="0001449D">
        <w:rPr>
          <w:rStyle w:val="Sprotnaopomba-sklic"/>
          <w:rFonts w:cstheme="minorHAnsi"/>
          <w:b/>
          <w:bCs/>
        </w:rPr>
        <w:footnoteReference w:id="1"/>
      </w:r>
      <w:r w:rsidR="004C6AD5" w:rsidRPr="0001449D">
        <w:rPr>
          <w:rFonts w:cstheme="minorHAnsi"/>
          <w:b/>
          <w:bCs/>
        </w:rPr>
        <w:t xml:space="preserve"> </w:t>
      </w:r>
      <w:r w:rsidRPr="0001449D">
        <w:rPr>
          <w:rFonts w:cstheme="minorHAnsi"/>
          <w:b/>
          <w:bCs/>
        </w:rPr>
        <w:t>v tujin</w:t>
      </w:r>
      <w:r w:rsidR="00B8440D">
        <w:rPr>
          <w:rFonts w:cstheme="minorHAnsi"/>
          <w:b/>
          <w:bCs/>
        </w:rPr>
        <w:t>o</w:t>
      </w:r>
      <w:r w:rsidRPr="00071AAB">
        <w:rPr>
          <w:rFonts w:cstheme="minorHAnsi"/>
        </w:rPr>
        <w:t xml:space="preserve"> </w:t>
      </w:r>
      <w:r w:rsidR="00B8440D">
        <w:rPr>
          <w:rFonts w:cstheme="minorHAnsi"/>
        </w:rPr>
        <w:t xml:space="preserve">do leta </w:t>
      </w:r>
      <w:r w:rsidR="003D551D">
        <w:rPr>
          <w:rFonts w:cstheme="minorHAnsi"/>
        </w:rPr>
        <w:t>202</w:t>
      </w:r>
      <w:r w:rsidR="002A6D23">
        <w:rPr>
          <w:rFonts w:cstheme="minorHAnsi"/>
        </w:rPr>
        <w:t>7</w:t>
      </w:r>
      <w:r w:rsidRPr="00071AAB">
        <w:rPr>
          <w:rFonts w:cstheme="minorHAnsi"/>
        </w:rPr>
        <w:t xml:space="preserve">. Dotacije se podeljujejo v okviru programa </w:t>
      </w:r>
      <w:r w:rsidRPr="00BA2FC6">
        <w:rPr>
          <w:rFonts w:cstheme="minorHAnsi"/>
          <w:bCs/>
        </w:rPr>
        <w:t>Erasmus+</w:t>
      </w:r>
      <w:r w:rsidR="003D551D">
        <w:rPr>
          <w:rFonts w:cstheme="minorHAnsi"/>
          <w:bCs/>
        </w:rPr>
        <w:t>, akcija</w:t>
      </w:r>
      <w:r w:rsidR="00B8440D">
        <w:rPr>
          <w:rFonts w:cstheme="minorHAnsi"/>
        </w:rPr>
        <w:t xml:space="preserve"> KA171</w:t>
      </w:r>
      <w:r w:rsidR="00C1646B" w:rsidRPr="00071AAB">
        <w:rPr>
          <w:rFonts w:cstheme="minorHAnsi"/>
        </w:rPr>
        <w:t>.</w:t>
      </w:r>
    </w:p>
    <w:p w14:paraId="6213C2B5" w14:textId="77777777" w:rsidR="006B4263" w:rsidRDefault="006B4263" w:rsidP="00CE14D1">
      <w:pPr>
        <w:spacing w:after="0" w:line="240" w:lineRule="auto"/>
        <w:jc w:val="both"/>
        <w:rPr>
          <w:rFonts w:cstheme="minorHAnsi"/>
        </w:rPr>
      </w:pPr>
    </w:p>
    <w:p w14:paraId="3E9004CC" w14:textId="77777777" w:rsidR="006B4263" w:rsidRPr="00071AAB" w:rsidRDefault="006B4263" w:rsidP="006B4263">
      <w:pPr>
        <w:keepNext/>
        <w:spacing w:after="0" w:line="240" w:lineRule="auto"/>
        <w:jc w:val="both"/>
        <w:rPr>
          <w:rFonts w:cstheme="minorHAnsi"/>
          <w:b/>
        </w:rPr>
      </w:pPr>
      <w:r w:rsidRPr="00071AAB">
        <w:rPr>
          <w:rFonts w:cstheme="minorHAnsi"/>
          <w:b/>
        </w:rPr>
        <w:t>Cilji mobilnosti za namen poučevanja</w:t>
      </w:r>
      <w:r>
        <w:rPr>
          <w:rFonts w:cstheme="minorHAnsi"/>
          <w:b/>
        </w:rPr>
        <w:t xml:space="preserve"> ali usposabljanja</w:t>
      </w:r>
      <w:r w:rsidRPr="00071AAB">
        <w:rPr>
          <w:rFonts w:cstheme="minorHAnsi"/>
          <w:b/>
        </w:rPr>
        <w:t xml:space="preserve"> so:</w:t>
      </w:r>
    </w:p>
    <w:p w14:paraId="3614CC3E" w14:textId="77777777" w:rsidR="006B4263" w:rsidRDefault="006B4263" w:rsidP="006B4263">
      <w:pPr>
        <w:pStyle w:val="Odstavekseznama"/>
        <w:keepNext/>
        <w:numPr>
          <w:ilvl w:val="0"/>
          <w:numId w:val="10"/>
        </w:numPr>
        <w:spacing w:after="0" w:line="240" w:lineRule="auto"/>
        <w:jc w:val="both"/>
        <w:rPr>
          <w:rFonts w:cstheme="minorHAnsi"/>
        </w:rPr>
      </w:pPr>
      <w:r w:rsidRPr="00071AAB">
        <w:rPr>
          <w:rFonts w:cstheme="minorHAnsi"/>
        </w:rPr>
        <w:t>spodbujanje širjenja in izmenjave znanj, vsebin in izkušenj prek nacionalnih meja ter vzpostavljanje medsebojnih povezav za namen nadaljnjih razvojno-raziskovalnih sodelovanj med institucijami,</w:t>
      </w:r>
    </w:p>
    <w:p w14:paraId="56EC40F6" w14:textId="77777777" w:rsidR="006B4263" w:rsidRPr="00071AAB" w:rsidRDefault="006B4263" w:rsidP="006B4263">
      <w:pPr>
        <w:pStyle w:val="Odstavekseznama"/>
        <w:keepNext/>
        <w:numPr>
          <w:ilvl w:val="0"/>
          <w:numId w:val="10"/>
        </w:numPr>
        <w:spacing w:after="0" w:line="240" w:lineRule="auto"/>
        <w:jc w:val="both"/>
        <w:rPr>
          <w:rFonts w:cstheme="minorHAnsi"/>
        </w:rPr>
      </w:pPr>
      <w:r w:rsidRPr="00071AAB">
        <w:rPr>
          <w:rFonts w:cstheme="minorHAnsi"/>
        </w:rPr>
        <w:t>izboljšanje kompetenc, povezanih s strokovnim in pedagoškim profilom osebja, in dviganje kakovosti njihovega dela,</w:t>
      </w:r>
    </w:p>
    <w:p w14:paraId="4085006C" w14:textId="77777777" w:rsidR="006B4263" w:rsidRPr="00071AAB" w:rsidRDefault="006B4263" w:rsidP="006B4263">
      <w:pPr>
        <w:pStyle w:val="Odstavekseznama"/>
        <w:keepNext/>
        <w:numPr>
          <w:ilvl w:val="0"/>
          <w:numId w:val="10"/>
        </w:numPr>
        <w:spacing w:after="0" w:line="240" w:lineRule="auto"/>
        <w:jc w:val="both"/>
        <w:rPr>
          <w:rFonts w:cstheme="minorHAnsi"/>
        </w:rPr>
      </w:pPr>
      <w:r w:rsidRPr="00071AAB">
        <w:rPr>
          <w:rFonts w:cstheme="minorHAnsi"/>
        </w:rPr>
        <w:t>spodbujanje študentov in osebja k mobilnosti (spodbujanje internacionalizacije v tujino),</w:t>
      </w:r>
    </w:p>
    <w:p w14:paraId="496E0E05" w14:textId="77777777" w:rsidR="006B4263" w:rsidRDefault="006B4263" w:rsidP="006B4263">
      <w:pPr>
        <w:pStyle w:val="Odstavekseznama"/>
        <w:numPr>
          <w:ilvl w:val="0"/>
          <w:numId w:val="10"/>
        </w:numPr>
        <w:spacing w:after="0" w:line="240" w:lineRule="auto"/>
        <w:jc w:val="both"/>
        <w:rPr>
          <w:rFonts w:cstheme="minorHAnsi"/>
        </w:rPr>
      </w:pPr>
      <w:r w:rsidRPr="00071AAB">
        <w:rPr>
          <w:rFonts w:cstheme="minorHAnsi"/>
        </w:rPr>
        <w:t>izboljšano znanje tujih jezikov ter boljše razumevanje družbene, jezikovne in kulturne raznolikosti ter odzivanje nanjo</w:t>
      </w:r>
      <w:r>
        <w:rPr>
          <w:rFonts w:cstheme="minorHAnsi"/>
        </w:rPr>
        <w:t>,</w:t>
      </w:r>
    </w:p>
    <w:p w14:paraId="1E1CA70B" w14:textId="77777777" w:rsidR="006B4263" w:rsidRDefault="006B4263" w:rsidP="006B4263">
      <w:pPr>
        <w:pStyle w:val="Odstavekseznama"/>
        <w:numPr>
          <w:ilvl w:val="0"/>
          <w:numId w:val="10"/>
        </w:numPr>
        <w:spacing w:after="0" w:line="240" w:lineRule="auto"/>
        <w:jc w:val="both"/>
        <w:rPr>
          <w:rFonts w:cstheme="minorHAnsi"/>
        </w:rPr>
      </w:pPr>
      <w:r w:rsidRPr="00A000A3">
        <w:rPr>
          <w:rFonts w:cstheme="minorHAnsi"/>
        </w:rPr>
        <w:t>širše razumevanje praks, politik in sistemov na področju izobraževanja po vseh državah</w:t>
      </w:r>
      <w:r>
        <w:rPr>
          <w:rFonts w:cstheme="minorHAnsi"/>
        </w:rPr>
        <w:t>,</w:t>
      </w:r>
    </w:p>
    <w:p w14:paraId="4C410093" w14:textId="77777777" w:rsidR="006B4263" w:rsidRDefault="006B4263" w:rsidP="006B4263">
      <w:pPr>
        <w:pStyle w:val="Odstavekseznama"/>
        <w:numPr>
          <w:ilvl w:val="0"/>
          <w:numId w:val="10"/>
        </w:numPr>
        <w:spacing w:after="0" w:line="240" w:lineRule="auto"/>
        <w:jc w:val="both"/>
        <w:rPr>
          <w:rFonts w:cstheme="minorHAnsi"/>
        </w:rPr>
      </w:pPr>
      <w:r>
        <w:rPr>
          <w:rFonts w:cstheme="minorHAnsi"/>
        </w:rPr>
        <w:t xml:space="preserve">poznavanje in uvajanje </w:t>
      </w:r>
      <w:r w:rsidRPr="00A000A3">
        <w:rPr>
          <w:rFonts w:cstheme="minorHAnsi"/>
        </w:rPr>
        <w:t>novosti za uvedbo sprememb glede posodobitev in mednarodnega sodelovanja v izobraževalnih</w:t>
      </w:r>
      <w:r>
        <w:rPr>
          <w:rFonts w:cstheme="minorHAnsi"/>
        </w:rPr>
        <w:t xml:space="preserve"> </w:t>
      </w:r>
      <w:r w:rsidRPr="00A000A3">
        <w:rPr>
          <w:rFonts w:cstheme="minorHAnsi"/>
        </w:rPr>
        <w:t>organizacijah</w:t>
      </w:r>
      <w:r>
        <w:rPr>
          <w:rFonts w:cstheme="minorHAnsi"/>
        </w:rPr>
        <w:t>,</w:t>
      </w:r>
    </w:p>
    <w:p w14:paraId="74BFEE5A" w14:textId="77777777" w:rsidR="006B4263" w:rsidRPr="00071AAB" w:rsidRDefault="006B4263" w:rsidP="006B4263">
      <w:pPr>
        <w:pStyle w:val="Odstavekseznama"/>
        <w:keepNext/>
        <w:numPr>
          <w:ilvl w:val="0"/>
          <w:numId w:val="10"/>
        </w:numPr>
        <w:spacing w:after="0" w:line="240" w:lineRule="auto"/>
        <w:jc w:val="both"/>
        <w:rPr>
          <w:rFonts w:cstheme="minorHAnsi"/>
        </w:rPr>
      </w:pPr>
      <w:r>
        <w:t>okrepljena motivacija in zadovoljstvo v vsakodnevnem delu</w:t>
      </w:r>
    </w:p>
    <w:p w14:paraId="0227E291" w14:textId="77777777" w:rsidR="006B4263" w:rsidRPr="00071AAB" w:rsidRDefault="006B4263" w:rsidP="006B4263">
      <w:pPr>
        <w:pStyle w:val="Odstavekseznama"/>
        <w:keepNext/>
        <w:numPr>
          <w:ilvl w:val="0"/>
          <w:numId w:val="10"/>
        </w:numPr>
        <w:spacing w:after="0" w:line="240" w:lineRule="auto"/>
        <w:jc w:val="both"/>
        <w:rPr>
          <w:rFonts w:cstheme="minorHAnsi"/>
        </w:rPr>
      </w:pPr>
      <w:r>
        <w:rPr>
          <w:rFonts w:cstheme="minorHAnsi"/>
        </w:rPr>
        <w:t xml:space="preserve">v primeru mobilnosti z namenom poučevanja se </w:t>
      </w:r>
      <w:r w:rsidRPr="00071AAB">
        <w:rPr>
          <w:rFonts w:cstheme="minorHAnsi"/>
        </w:rPr>
        <w:t>spodbuja</w:t>
      </w:r>
      <w:r>
        <w:rPr>
          <w:rFonts w:cstheme="minorHAnsi"/>
        </w:rPr>
        <w:t>ta tudi</w:t>
      </w:r>
      <w:r w:rsidRPr="00071AAB">
        <w:rPr>
          <w:rFonts w:cstheme="minorHAnsi"/>
        </w:rPr>
        <w:t xml:space="preserve"> širjenj</w:t>
      </w:r>
      <w:r>
        <w:rPr>
          <w:rFonts w:cstheme="minorHAnsi"/>
        </w:rPr>
        <w:t>e</w:t>
      </w:r>
      <w:r w:rsidRPr="00071AAB">
        <w:rPr>
          <w:rFonts w:cstheme="minorHAnsi"/>
        </w:rPr>
        <w:t xml:space="preserve"> in izmenjav</w:t>
      </w:r>
      <w:r>
        <w:rPr>
          <w:rFonts w:cstheme="minorHAnsi"/>
        </w:rPr>
        <w:t>a</w:t>
      </w:r>
      <w:r w:rsidRPr="00071AAB">
        <w:rPr>
          <w:rFonts w:cstheme="minorHAnsi"/>
        </w:rPr>
        <w:t xml:space="preserve"> pedagoških metod, oblik in pristopov dela prek nacionalnih meja</w:t>
      </w:r>
      <w:r>
        <w:rPr>
          <w:rFonts w:cstheme="minorHAnsi"/>
        </w:rPr>
        <w:t xml:space="preserve"> ter</w:t>
      </w:r>
    </w:p>
    <w:p w14:paraId="4F2B8F7E" w14:textId="77777777" w:rsidR="006B4263" w:rsidRDefault="006B4263" w:rsidP="006B4263">
      <w:pPr>
        <w:pStyle w:val="Odstavekseznama"/>
        <w:keepNext/>
        <w:numPr>
          <w:ilvl w:val="0"/>
          <w:numId w:val="10"/>
        </w:numPr>
        <w:spacing w:after="0" w:line="240" w:lineRule="auto"/>
        <w:jc w:val="both"/>
        <w:rPr>
          <w:rFonts w:cstheme="minorHAnsi"/>
        </w:rPr>
      </w:pPr>
      <w:r w:rsidRPr="00071AAB">
        <w:rPr>
          <w:rFonts w:cstheme="minorHAnsi"/>
        </w:rPr>
        <w:t xml:space="preserve">študentom in kolegom, ki se ne morejo udeležiti procesov mobilnosti, </w:t>
      </w:r>
      <w:r>
        <w:rPr>
          <w:rFonts w:cstheme="minorHAnsi"/>
        </w:rPr>
        <w:t xml:space="preserve">se omogoča, </w:t>
      </w:r>
      <w:r w:rsidRPr="00071AAB">
        <w:rPr>
          <w:rFonts w:cstheme="minorHAnsi"/>
        </w:rPr>
        <w:t>da so prek mobilnega učnega osebja posredno deležni internacionaliziranih vsebin in izkušenj v domačem študijskem okolju (internacionalizacija doma)</w:t>
      </w:r>
      <w:r>
        <w:rPr>
          <w:rFonts w:cstheme="minorHAnsi"/>
        </w:rPr>
        <w:t>.</w:t>
      </w:r>
    </w:p>
    <w:p w14:paraId="6E86BA8B" w14:textId="77777777" w:rsidR="006B4263" w:rsidRPr="00FF6F30" w:rsidRDefault="006B4263" w:rsidP="006B4263">
      <w:pPr>
        <w:pStyle w:val="Odstavekseznama"/>
        <w:keepNext/>
        <w:spacing w:after="0" w:line="240" w:lineRule="auto"/>
        <w:jc w:val="both"/>
        <w:rPr>
          <w:rFonts w:cstheme="minorHAnsi"/>
        </w:rPr>
      </w:pPr>
    </w:p>
    <w:p w14:paraId="41B7ADB6" w14:textId="77777777" w:rsidR="006B4263" w:rsidRDefault="006B4263" w:rsidP="00CE14D1">
      <w:pPr>
        <w:spacing w:after="0" w:line="240" w:lineRule="auto"/>
        <w:jc w:val="both"/>
        <w:rPr>
          <w:rFonts w:cstheme="minorHAnsi"/>
        </w:rPr>
      </w:pPr>
    </w:p>
    <w:p w14:paraId="7D26D3E1" w14:textId="2DBBCE3C" w:rsidR="00B8440D" w:rsidRPr="006B4263" w:rsidRDefault="006B4263" w:rsidP="006B4263">
      <w:pPr>
        <w:pStyle w:val="Naslov1"/>
      </w:pPr>
      <w:r>
        <w:t>Udeleženci mobilnosti</w:t>
      </w:r>
    </w:p>
    <w:p w14:paraId="65D6B8E0" w14:textId="1365A236" w:rsidR="00863FFD" w:rsidRDefault="00B8440D" w:rsidP="00B8440D">
      <w:pPr>
        <w:spacing w:after="0" w:line="240" w:lineRule="auto"/>
        <w:jc w:val="both"/>
        <w:rPr>
          <w:rFonts w:cstheme="minorHAnsi"/>
        </w:rPr>
      </w:pPr>
      <w:r>
        <w:rPr>
          <w:rFonts w:cstheme="minorHAnsi"/>
        </w:rPr>
        <w:t xml:space="preserve">Mobilnost osebja vključuje </w:t>
      </w:r>
      <w:r w:rsidRPr="00B8440D">
        <w:rPr>
          <w:rFonts w:cstheme="minorHAnsi"/>
          <w:i/>
          <w:iCs/>
        </w:rPr>
        <w:t>m</w:t>
      </w:r>
      <w:r w:rsidR="00863FFD" w:rsidRPr="00B8440D">
        <w:rPr>
          <w:rFonts w:cstheme="minorHAnsi"/>
          <w:i/>
          <w:iCs/>
        </w:rPr>
        <w:t>obilnost zaposlenih za namen poučevanja</w:t>
      </w:r>
      <w:r w:rsidR="00863FFD" w:rsidRPr="00B8440D">
        <w:rPr>
          <w:rFonts w:cstheme="minorHAnsi"/>
          <w:b/>
          <w:bCs/>
        </w:rPr>
        <w:t xml:space="preserve"> </w:t>
      </w:r>
      <w:r>
        <w:rPr>
          <w:rFonts w:cstheme="minorHAnsi"/>
        </w:rPr>
        <w:t xml:space="preserve">in </w:t>
      </w:r>
      <w:r w:rsidRPr="00B8440D">
        <w:rPr>
          <w:rFonts w:cstheme="minorHAnsi"/>
          <w:i/>
          <w:iCs/>
        </w:rPr>
        <w:t>mobilnost zaposlenih za namen usposabljanja</w:t>
      </w:r>
      <w:r w:rsidRPr="00B8440D">
        <w:rPr>
          <w:rFonts w:cstheme="minorHAnsi"/>
        </w:rPr>
        <w:t>. Mobilnost za namen poučevanja o</w:t>
      </w:r>
      <w:r w:rsidR="00863FFD" w:rsidRPr="00B8440D">
        <w:rPr>
          <w:rFonts w:cstheme="minorHAnsi"/>
        </w:rPr>
        <w:t>mogoča pedagoškemu osebju visokošolske institucije ali osebju iz podjetij, da izvedejo aktivnost poučevanja na partnerski visokošolski instituciji v tujini v kateri koli akademski disciplini.</w:t>
      </w:r>
      <w:r>
        <w:rPr>
          <w:rFonts w:cstheme="minorHAnsi"/>
        </w:rPr>
        <w:t xml:space="preserve"> </w:t>
      </w:r>
      <w:r w:rsidR="00863FFD" w:rsidRPr="00B8440D">
        <w:rPr>
          <w:rFonts w:cstheme="minorHAnsi"/>
        </w:rPr>
        <w:t>Mobilnost zaposlenih za namen usposabljanja</w:t>
      </w:r>
      <w:r w:rsidR="00863FFD" w:rsidRPr="00B8440D">
        <w:rPr>
          <w:rFonts w:cstheme="minorHAnsi"/>
          <w:b/>
          <w:bCs/>
        </w:rPr>
        <w:t xml:space="preserve"> </w:t>
      </w:r>
      <w:r w:rsidR="000C2ABC" w:rsidRPr="00B8440D">
        <w:rPr>
          <w:rFonts w:cstheme="minorHAnsi"/>
        </w:rPr>
        <w:t xml:space="preserve">omogoča </w:t>
      </w:r>
      <w:r w:rsidR="00863FFD" w:rsidRPr="00B8440D">
        <w:rPr>
          <w:rFonts w:cstheme="minorHAnsi"/>
        </w:rPr>
        <w:t xml:space="preserve">poklicni razvoj pedagoškega in nepedagoškega osebja visokošolske institucije z </w:t>
      </w:r>
      <w:r w:rsidR="000C2ABC" w:rsidRPr="00B8440D">
        <w:rPr>
          <w:rFonts w:cstheme="minorHAnsi"/>
        </w:rPr>
        <w:t xml:space="preserve">udeležbo na </w:t>
      </w:r>
      <w:r w:rsidR="00863FFD" w:rsidRPr="00B8440D">
        <w:rPr>
          <w:rFonts w:cstheme="minorHAnsi"/>
        </w:rPr>
        <w:t>usposabljanji</w:t>
      </w:r>
      <w:r w:rsidR="000C2ABC" w:rsidRPr="00B8440D">
        <w:rPr>
          <w:rFonts w:cstheme="minorHAnsi"/>
        </w:rPr>
        <w:t>h</w:t>
      </w:r>
      <w:r w:rsidR="00863FFD" w:rsidRPr="00B8440D">
        <w:rPr>
          <w:rFonts w:cstheme="minorHAnsi"/>
        </w:rPr>
        <w:t xml:space="preserve"> v tujini in izobraževalnimi obiski na delovnem mestu</w:t>
      </w:r>
      <w:r w:rsidR="000C2ABC" w:rsidRPr="00B8440D">
        <w:rPr>
          <w:rFonts w:cstheme="minorHAnsi"/>
        </w:rPr>
        <w:t xml:space="preserve"> (</w:t>
      </w:r>
      <w:r w:rsidR="00863FFD" w:rsidRPr="00B8440D">
        <w:rPr>
          <w:rFonts w:cstheme="minorHAnsi"/>
        </w:rPr>
        <w:t>opazovanja</w:t>
      </w:r>
      <w:r w:rsidR="000C2ABC" w:rsidRPr="00B8440D">
        <w:rPr>
          <w:rFonts w:cstheme="minorHAnsi"/>
        </w:rPr>
        <w:t xml:space="preserve">, </w:t>
      </w:r>
      <w:r w:rsidR="00863FFD" w:rsidRPr="00B8440D">
        <w:rPr>
          <w:rFonts w:cstheme="minorHAnsi"/>
        </w:rPr>
        <w:t xml:space="preserve">usposabljanjem na partnerski instituciji </w:t>
      </w:r>
      <w:r w:rsidR="000C2ABC" w:rsidRPr="00B8440D">
        <w:rPr>
          <w:rFonts w:cstheme="minorHAnsi"/>
        </w:rPr>
        <w:t>ipd.)</w:t>
      </w:r>
      <w:r w:rsidR="00863FFD" w:rsidRPr="00B8440D">
        <w:rPr>
          <w:rFonts w:cstheme="minorHAnsi"/>
        </w:rPr>
        <w:t>.</w:t>
      </w:r>
      <w:r w:rsidR="000C2ABC" w:rsidRPr="00B8440D">
        <w:rPr>
          <w:rFonts w:cstheme="minorHAnsi"/>
        </w:rPr>
        <w:t xml:space="preserve"> </w:t>
      </w:r>
    </w:p>
    <w:p w14:paraId="1E8EA32A" w14:textId="77777777" w:rsidR="006B4263" w:rsidRDefault="006B4263" w:rsidP="00B8440D">
      <w:pPr>
        <w:spacing w:after="0" w:line="240" w:lineRule="auto"/>
        <w:jc w:val="both"/>
        <w:rPr>
          <w:rFonts w:cstheme="minorHAnsi"/>
        </w:rPr>
      </w:pPr>
    </w:p>
    <w:p w14:paraId="1712CF2B" w14:textId="77777777" w:rsidR="001242BF" w:rsidRDefault="001242BF" w:rsidP="001242BF">
      <w:pPr>
        <w:spacing w:after="0" w:line="240" w:lineRule="auto"/>
      </w:pPr>
      <w:r w:rsidRPr="00971708">
        <w:t>Prijavitelj ni upravičen do prijave na ta razpis, če je država prebivališča prijavitelja enaka državi gostujoče institucije.</w:t>
      </w:r>
    </w:p>
    <w:p w14:paraId="47A2667C" w14:textId="77777777" w:rsidR="001242BF" w:rsidRDefault="001242BF" w:rsidP="001242BF">
      <w:pPr>
        <w:spacing w:after="0" w:line="240" w:lineRule="auto"/>
        <w:ind w:left="173"/>
        <w:rPr>
          <w:b/>
        </w:rPr>
      </w:pPr>
    </w:p>
    <w:p w14:paraId="3C426FED" w14:textId="77777777" w:rsidR="001242BF" w:rsidRPr="00D86006" w:rsidRDefault="001242BF" w:rsidP="001242BF">
      <w:pPr>
        <w:spacing w:after="0" w:line="240" w:lineRule="auto"/>
        <w:ind w:left="173"/>
        <w:rPr>
          <w:bCs/>
          <w:i/>
          <w:iCs/>
        </w:rPr>
      </w:pPr>
      <w:r w:rsidRPr="00D86006">
        <w:rPr>
          <w:bCs/>
          <w:i/>
          <w:iCs/>
        </w:rPr>
        <w:lastRenderedPageBreak/>
        <w:t>Če je prijavitelj hkrati v delovnem razmerju na drugi višji strokovni šoli ali visokošolskem zavodu, ne sme prejeti za isto mobilnost dvojnega financiranja s strani drugega delodajalca.</w:t>
      </w:r>
    </w:p>
    <w:p w14:paraId="5EC51DFB" w14:textId="418FAFB5" w:rsidR="00071AAB" w:rsidRDefault="00071AAB" w:rsidP="00CE14D1">
      <w:pPr>
        <w:spacing w:after="0" w:line="240" w:lineRule="auto"/>
        <w:jc w:val="both"/>
        <w:rPr>
          <w:rFonts w:cstheme="minorHAnsi"/>
          <w:b/>
          <w:bCs/>
        </w:rPr>
      </w:pPr>
    </w:p>
    <w:p w14:paraId="40548B05" w14:textId="77777777" w:rsidR="00CE14D1" w:rsidRPr="00863FFD" w:rsidRDefault="00CE14D1" w:rsidP="00CE14D1">
      <w:pPr>
        <w:spacing w:after="0" w:line="240" w:lineRule="auto"/>
        <w:jc w:val="both"/>
        <w:rPr>
          <w:rFonts w:cstheme="minorHAnsi"/>
          <w:b/>
          <w:bCs/>
        </w:rPr>
      </w:pPr>
    </w:p>
    <w:p w14:paraId="59552EAA" w14:textId="5121BE3F" w:rsidR="008E3A8D" w:rsidRPr="00071AAB" w:rsidRDefault="008E3A8D" w:rsidP="00E6161A">
      <w:pPr>
        <w:pStyle w:val="Naslov1"/>
        <w:rPr>
          <w:szCs w:val="28"/>
        </w:rPr>
      </w:pPr>
      <w:bookmarkStart w:id="1" w:name="_Hlk116476466"/>
      <w:r w:rsidRPr="00071AAB">
        <w:t xml:space="preserve">Obdobje </w:t>
      </w:r>
      <w:r w:rsidR="00CD3894">
        <w:t xml:space="preserve">izvajanja </w:t>
      </w:r>
      <w:r w:rsidRPr="00071AAB">
        <w:t>mobilnosti</w:t>
      </w:r>
    </w:p>
    <w:p w14:paraId="6DDEC5D6" w14:textId="24D6518A" w:rsidR="00A51160" w:rsidRDefault="00C66B94" w:rsidP="00CE14D1">
      <w:pPr>
        <w:spacing w:after="0" w:line="240" w:lineRule="auto"/>
        <w:jc w:val="both"/>
        <w:rPr>
          <w:rFonts w:cstheme="minorHAnsi"/>
        </w:rPr>
      </w:pPr>
      <w:r w:rsidRPr="00071AAB">
        <w:rPr>
          <w:rFonts w:cstheme="minorHAnsi"/>
        </w:rPr>
        <w:t xml:space="preserve">Mobilnost lahko traja </w:t>
      </w:r>
      <w:r w:rsidRPr="00071AAB">
        <w:rPr>
          <w:rFonts w:cstheme="minorHAnsi"/>
          <w:b/>
        </w:rPr>
        <w:t xml:space="preserve">najmanj </w:t>
      </w:r>
      <w:r w:rsidR="000B114E" w:rsidRPr="00071AAB">
        <w:rPr>
          <w:rFonts w:cstheme="minorHAnsi"/>
          <w:b/>
        </w:rPr>
        <w:t>5</w:t>
      </w:r>
      <w:r w:rsidRPr="00071AAB">
        <w:rPr>
          <w:rFonts w:cstheme="minorHAnsi"/>
          <w:b/>
        </w:rPr>
        <w:t xml:space="preserve"> dn</w:t>
      </w:r>
      <w:r w:rsidR="000B114E" w:rsidRPr="00071AAB">
        <w:rPr>
          <w:rFonts w:cstheme="minorHAnsi"/>
          <w:b/>
        </w:rPr>
        <w:t>i</w:t>
      </w:r>
      <w:r w:rsidRPr="00071AAB">
        <w:rPr>
          <w:rFonts w:cstheme="minorHAnsi"/>
          <w:b/>
        </w:rPr>
        <w:t xml:space="preserve"> do največ 2 meseca</w:t>
      </w:r>
      <w:r w:rsidRPr="00071AAB">
        <w:rPr>
          <w:rFonts w:cstheme="minorHAnsi"/>
        </w:rPr>
        <w:t>, brez časa porabljenega za pot. Dnevom mobilnosti se lahko doda največ 2 dni (en dan za pot pred prvim dnem aktivnosti v tujini in/ali en dan za pot po zadnjem dnevu aktivnosti v tujini).</w:t>
      </w:r>
    </w:p>
    <w:p w14:paraId="3019E1E5" w14:textId="77777777" w:rsidR="00AD54BD" w:rsidRPr="00071AAB" w:rsidRDefault="00AD54BD" w:rsidP="00CE14D1">
      <w:pPr>
        <w:spacing w:after="0" w:line="240" w:lineRule="auto"/>
        <w:jc w:val="both"/>
        <w:rPr>
          <w:rFonts w:cstheme="minorHAnsi"/>
        </w:rPr>
      </w:pPr>
    </w:p>
    <w:p w14:paraId="7113BCF3" w14:textId="72CC7F63" w:rsidR="00C44F5F" w:rsidRPr="004C3A01" w:rsidRDefault="00A000A3" w:rsidP="004C3A01">
      <w:pPr>
        <w:jc w:val="both"/>
      </w:pPr>
      <w:r>
        <w:rPr>
          <w:rFonts w:cstheme="minorHAnsi"/>
        </w:rPr>
        <w:t xml:space="preserve">V primeru mobilnosti za namen poučevanja mora </w:t>
      </w:r>
      <w:r w:rsidR="00B72FD1">
        <w:rPr>
          <w:rFonts w:cstheme="minorHAnsi"/>
        </w:rPr>
        <w:t>slednja</w:t>
      </w:r>
      <w:r w:rsidR="00C66B94" w:rsidRPr="00071AAB">
        <w:rPr>
          <w:rFonts w:cstheme="minorHAnsi"/>
        </w:rPr>
        <w:t xml:space="preserve"> obsegati najmanj </w:t>
      </w:r>
      <w:r w:rsidR="00C66B94" w:rsidRPr="00071AAB">
        <w:rPr>
          <w:rFonts w:cstheme="minorHAnsi"/>
          <w:b/>
        </w:rPr>
        <w:t>8 ur poučevanja na teden</w:t>
      </w:r>
      <w:r w:rsidR="00C66B94" w:rsidRPr="00071AAB">
        <w:rPr>
          <w:rFonts w:cstheme="minorHAnsi"/>
        </w:rPr>
        <w:t xml:space="preserve"> (ali za katerokoli krajše obdobje trajanja mobilnosti). Če mobilnost traja dlje od enega tedna, mora biti minimalno število ur poučevanja sorazmerno s trajanjem mobilnosti v tistem tednu.</w:t>
      </w:r>
      <w:r w:rsidR="005A78CC">
        <w:rPr>
          <w:rFonts w:cstheme="minorHAnsi"/>
        </w:rPr>
        <w:t xml:space="preserve"> </w:t>
      </w:r>
      <w:r w:rsidR="004C3A01">
        <w:t xml:space="preserve">Mobilnost z namenom poučevanja se lahko </w:t>
      </w:r>
      <w:r w:rsidR="004C3A01" w:rsidRPr="00A934DA">
        <w:rPr>
          <w:b/>
        </w:rPr>
        <w:t>kombinira</w:t>
      </w:r>
      <w:r w:rsidR="004C3A01">
        <w:t xml:space="preserve"> z aktivnostjo usposabljanja med istim obdobjem v tujini. V tem primeru se izvede </w:t>
      </w:r>
      <w:r w:rsidR="004C3A01" w:rsidRPr="00A934DA">
        <w:rPr>
          <w:b/>
        </w:rPr>
        <w:t>vsaj 4 ure poučevanja</w:t>
      </w:r>
      <w:r w:rsidR="004C3A01">
        <w:t xml:space="preserve"> na teden (ali kakršnokoli krajše obdobje mobilnosti). </w:t>
      </w:r>
    </w:p>
    <w:p w14:paraId="33EC0E18" w14:textId="2D894097" w:rsidR="008E3A8D" w:rsidRPr="00071AAB" w:rsidRDefault="008E3A8D" w:rsidP="00CE14D1">
      <w:pPr>
        <w:spacing w:after="0" w:line="240" w:lineRule="auto"/>
        <w:jc w:val="both"/>
        <w:rPr>
          <w:rFonts w:cstheme="minorHAnsi"/>
        </w:rPr>
      </w:pPr>
      <w:r w:rsidRPr="00071AAB">
        <w:rPr>
          <w:rFonts w:cstheme="minorHAnsi"/>
        </w:rPr>
        <w:t>Mobilnost</w:t>
      </w:r>
      <w:r w:rsidR="00B8440D">
        <w:rPr>
          <w:rFonts w:cstheme="minorHAnsi"/>
        </w:rPr>
        <w:t xml:space="preserve">i v okviru </w:t>
      </w:r>
      <w:r w:rsidR="00B8440D" w:rsidRPr="00B8440D">
        <w:rPr>
          <w:rFonts w:cstheme="minorHAnsi"/>
        </w:rPr>
        <w:t xml:space="preserve">KA171 (2022) razpisa </w:t>
      </w:r>
      <w:r w:rsidR="00157862">
        <w:rPr>
          <w:rFonts w:cstheme="minorHAnsi"/>
        </w:rPr>
        <w:t xml:space="preserve">morajo biti izvedene do </w:t>
      </w:r>
      <w:r w:rsidR="00B8440D" w:rsidRPr="00157862">
        <w:rPr>
          <w:rFonts w:cstheme="minorHAnsi"/>
        </w:rPr>
        <w:t>31. 7. 2025</w:t>
      </w:r>
      <w:r w:rsidR="00157862" w:rsidRPr="00157862">
        <w:rPr>
          <w:rFonts w:cstheme="minorHAnsi"/>
        </w:rPr>
        <w:t>, v okviru razpisa KA171 (2023) do 31. 7. 2026</w:t>
      </w:r>
      <w:r w:rsidR="002A6D23">
        <w:rPr>
          <w:rFonts w:cstheme="minorHAnsi"/>
        </w:rPr>
        <w:t xml:space="preserve"> in v okviru razpisa KA171 (2024) do 31. 7. 2027.</w:t>
      </w:r>
    </w:p>
    <w:p w14:paraId="17FD6D26" w14:textId="77777777" w:rsidR="00A51160" w:rsidRPr="00071AAB" w:rsidRDefault="00A51160" w:rsidP="00CE14D1">
      <w:pPr>
        <w:spacing w:after="0" w:line="240" w:lineRule="auto"/>
        <w:jc w:val="both"/>
        <w:rPr>
          <w:rFonts w:cstheme="minorHAnsi"/>
        </w:rPr>
      </w:pPr>
    </w:p>
    <w:p w14:paraId="59C1B246" w14:textId="586AC178" w:rsidR="00C66B94" w:rsidRPr="00071AAB" w:rsidRDefault="00C66B94" w:rsidP="00CE14D1">
      <w:pPr>
        <w:spacing w:after="0" w:line="240" w:lineRule="auto"/>
        <w:jc w:val="both"/>
        <w:rPr>
          <w:rFonts w:cstheme="minorHAnsi"/>
        </w:rPr>
      </w:pPr>
      <w:r w:rsidRPr="00071AAB">
        <w:rPr>
          <w:rFonts w:cstheme="minorHAnsi"/>
        </w:rPr>
        <w:t xml:space="preserve">Na razpis za poučevanje </w:t>
      </w:r>
      <w:r w:rsidR="00B72FD1">
        <w:rPr>
          <w:rFonts w:cstheme="minorHAnsi"/>
        </w:rPr>
        <w:t xml:space="preserve">ali usposabljanje </w:t>
      </w:r>
      <w:r w:rsidRPr="00071AAB">
        <w:rPr>
          <w:rFonts w:cstheme="minorHAnsi"/>
        </w:rPr>
        <w:t>se lahko prijavijo posamezniki, ki so v</w:t>
      </w:r>
      <w:r w:rsidR="005A4987" w:rsidRPr="00071AAB">
        <w:rPr>
          <w:rFonts w:cstheme="minorHAnsi"/>
        </w:rPr>
        <w:t xml:space="preserve">isokošolski učitelji ali sodelavci </w:t>
      </w:r>
      <w:r w:rsidR="002A6D23">
        <w:rPr>
          <w:rFonts w:cstheme="minorHAnsi"/>
        </w:rPr>
        <w:t xml:space="preserve">B2 </w:t>
      </w:r>
      <w:r w:rsidR="005A4987" w:rsidRPr="00071AAB">
        <w:rPr>
          <w:rFonts w:cstheme="minorHAnsi"/>
        </w:rPr>
        <w:t>VŠPV</w:t>
      </w:r>
      <w:r w:rsidR="00B72FD1">
        <w:rPr>
          <w:rFonts w:cstheme="minorHAnsi"/>
        </w:rPr>
        <w:t xml:space="preserve"> oziroma nepedagoški delavci</w:t>
      </w:r>
      <w:r w:rsidR="005A4987" w:rsidRPr="00071AAB">
        <w:rPr>
          <w:rFonts w:cstheme="minorHAnsi"/>
        </w:rPr>
        <w:t xml:space="preserve">, ali posamezniki, ki delajo v podjetju, javni ali zasebni organizaciji partnerskih </w:t>
      </w:r>
      <w:r w:rsidR="0001449D">
        <w:rPr>
          <w:rFonts w:cstheme="minorHAnsi"/>
        </w:rPr>
        <w:t xml:space="preserve">institucij </w:t>
      </w:r>
      <w:r w:rsidR="005A4987" w:rsidRPr="00071AAB">
        <w:rPr>
          <w:rFonts w:cstheme="minorHAnsi"/>
        </w:rPr>
        <w:t xml:space="preserve">in so povabljeni k </w:t>
      </w:r>
      <w:r w:rsidR="00B72FD1">
        <w:rPr>
          <w:rFonts w:cstheme="minorHAnsi"/>
        </w:rPr>
        <w:t xml:space="preserve">sodelovanju </w:t>
      </w:r>
      <w:r w:rsidR="005A4987" w:rsidRPr="00071AAB">
        <w:rPr>
          <w:rFonts w:cstheme="minorHAnsi"/>
        </w:rPr>
        <w:t xml:space="preserve">na </w:t>
      </w:r>
      <w:r w:rsidR="002A6D23">
        <w:rPr>
          <w:rFonts w:cstheme="minorHAnsi"/>
        </w:rPr>
        <w:t xml:space="preserve">B2 </w:t>
      </w:r>
      <w:r w:rsidR="005A4987" w:rsidRPr="00071AAB">
        <w:rPr>
          <w:rFonts w:cstheme="minorHAnsi"/>
        </w:rPr>
        <w:t>VŠPV.</w:t>
      </w:r>
      <w:r w:rsidR="0001449D">
        <w:rPr>
          <w:rFonts w:cstheme="minorHAnsi"/>
        </w:rPr>
        <w:t xml:space="preserve"> </w:t>
      </w:r>
      <w:r w:rsidR="0001449D" w:rsidRPr="0001449D">
        <w:rPr>
          <w:rFonts w:cstheme="minorHAnsi"/>
        </w:rPr>
        <w:t xml:space="preserve">Prijavitelj </w:t>
      </w:r>
      <w:r w:rsidR="00B72FD1">
        <w:rPr>
          <w:rFonts w:cstheme="minorHAnsi"/>
        </w:rPr>
        <w:t xml:space="preserve">ima lahko z </w:t>
      </w:r>
      <w:r w:rsidR="0001449D" w:rsidRPr="0001449D">
        <w:rPr>
          <w:rFonts w:cstheme="minorHAnsi"/>
        </w:rPr>
        <w:t>institucij</w:t>
      </w:r>
      <w:r w:rsidR="00B72FD1">
        <w:rPr>
          <w:rFonts w:cstheme="minorHAnsi"/>
        </w:rPr>
        <w:t>o</w:t>
      </w:r>
      <w:r w:rsidR="0001449D" w:rsidRPr="0001449D">
        <w:rPr>
          <w:rFonts w:cstheme="minorHAnsi"/>
        </w:rPr>
        <w:t xml:space="preserve"> pošiljateljic</w:t>
      </w:r>
      <w:r w:rsidR="00B72FD1">
        <w:rPr>
          <w:rFonts w:cstheme="minorHAnsi"/>
        </w:rPr>
        <w:t>o</w:t>
      </w:r>
      <w:r w:rsidR="0001449D" w:rsidRPr="0001449D">
        <w:rPr>
          <w:rFonts w:cstheme="minorHAnsi"/>
        </w:rPr>
        <w:t xml:space="preserve"> delovno razmerje za določen oz. nedoločen čas, poln</w:t>
      </w:r>
      <w:r w:rsidR="00B72FD1">
        <w:rPr>
          <w:rFonts w:cstheme="minorHAnsi"/>
        </w:rPr>
        <w:t>o</w:t>
      </w:r>
      <w:r w:rsidR="0001449D" w:rsidRPr="0001449D">
        <w:rPr>
          <w:rFonts w:cstheme="minorHAnsi"/>
        </w:rPr>
        <w:t xml:space="preserve"> oz.</w:t>
      </w:r>
      <w:r w:rsidR="0001449D">
        <w:rPr>
          <w:rFonts w:cstheme="minorHAnsi"/>
        </w:rPr>
        <w:t xml:space="preserve"> </w:t>
      </w:r>
      <w:r w:rsidR="0001449D" w:rsidRPr="0001449D">
        <w:rPr>
          <w:rFonts w:cstheme="minorHAnsi"/>
        </w:rPr>
        <w:t>deln</w:t>
      </w:r>
      <w:r w:rsidR="00B72FD1">
        <w:rPr>
          <w:rFonts w:cstheme="minorHAnsi"/>
        </w:rPr>
        <w:t>o</w:t>
      </w:r>
      <w:r w:rsidR="0001449D">
        <w:rPr>
          <w:rFonts w:cstheme="minorHAnsi"/>
        </w:rPr>
        <w:t xml:space="preserve"> zaposlitev,</w:t>
      </w:r>
      <w:r w:rsidR="0001449D" w:rsidRPr="0001449D">
        <w:rPr>
          <w:rFonts w:cstheme="minorHAnsi"/>
        </w:rPr>
        <w:t xml:space="preserve"> avtorsk</w:t>
      </w:r>
      <w:r w:rsidR="00B72FD1">
        <w:rPr>
          <w:rFonts w:cstheme="minorHAnsi"/>
        </w:rPr>
        <w:t>o</w:t>
      </w:r>
      <w:r w:rsidR="0001449D" w:rsidRPr="0001449D">
        <w:rPr>
          <w:rFonts w:cstheme="minorHAnsi"/>
        </w:rPr>
        <w:t xml:space="preserve"> oz. </w:t>
      </w:r>
      <w:proofErr w:type="spellStart"/>
      <w:r w:rsidR="0001449D" w:rsidRPr="0001449D">
        <w:rPr>
          <w:rFonts w:cstheme="minorHAnsi"/>
        </w:rPr>
        <w:t>podjemn</w:t>
      </w:r>
      <w:r w:rsidR="00B72FD1">
        <w:rPr>
          <w:rFonts w:cstheme="minorHAnsi"/>
        </w:rPr>
        <w:t>o</w:t>
      </w:r>
      <w:proofErr w:type="spellEnd"/>
      <w:r w:rsidR="0001449D" w:rsidRPr="0001449D">
        <w:rPr>
          <w:rFonts w:cstheme="minorHAnsi"/>
        </w:rPr>
        <w:t xml:space="preserve"> pogodb</w:t>
      </w:r>
      <w:r w:rsidR="00B72FD1">
        <w:rPr>
          <w:rFonts w:cstheme="minorHAnsi"/>
        </w:rPr>
        <w:t>o</w:t>
      </w:r>
      <w:r w:rsidR="0001449D" w:rsidRPr="0001449D">
        <w:rPr>
          <w:rFonts w:cstheme="minorHAnsi"/>
        </w:rPr>
        <w:t xml:space="preserve">. </w:t>
      </w:r>
    </w:p>
    <w:p w14:paraId="5D879CAA" w14:textId="77777777" w:rsidR="00A51160" w:rsidRPr="00071AAB" w:rsidRDefault="00A51160" w:rsidP="00CE14D1">
      <w:pPr>
        <w:spacing w:after="0" w:line="240" w:lineRule="auto"/>
        <w:jc w:val="both"/>
        <w:rPr>
          <w:rFonts w:cstheme="minorHAnsi"/>
        </w:rPr>
      </w:pPr>
    </w:p>
    <w:p w14:paraId="1D34DDA8" w14:textId="1C99FD7D" w:rsidR="00A51160" w:rsidRPr="002A6D23" w:rsidRDefault="00C66B94" w:rsidP="00CE14D1">
      <w:pPr>
        <w:spacing w:after="0" w:line="240" w:lineRule="auto"/>
        <w:jc w:val="both"/>
        <w:rPr>
          <w:rFonts w:cstheme="minorHAnsi"/>
          <w:b/>
        </w:rPr>
      </w:pPr>
      <w:r w:rsidRPr="00071AAB">
        <w:rPr>
          <w:rFonts w:cstheme="minorHAnsi"/>
          <w:b/>
        </w:rPr>
        <w:t>Če je prijavitelj hkrati v delovnem razmerju na drugi višji strokovni šoli ali visokošolskem zavodu</w:t>
      </w:r>
      <w:r w:rsidR="00B8440D">
        <w:rPr>
          <w:rFonts w:cstheme="minorHAnsi"/>
          <w:b/>
        </w:rPr>
        <w:t xml:space="preserve">, ne sme prejeti </w:t>
      </w:r>
      <w:r w:rsidRPr="00071AAB">
        <w:rPr>
          <w:rFonts w:cstheme="minorHAnsi"/>
          <w:b/>
        </w:rPr>
        <w:t xml:space="preserve">za isto mobilnost </w:t>
      </w:r>
      <w:r w:rsidR="00B8440D">
        <w:rPr>
          <w:rFonts w:cstheme="minorHAnsi"/>
          <w:b/>
        </w:rPr>
        <w:t xml:space="preserve">dvojnega financiranja s strani </w:t>
      </w:r>
      <w:r w:rsidRPr="00071AAB">
        <w:rPr>
          <w:rFonts w:cstheme="minorHAnsi"/>
          <w:b/>
        </w:rPr>
        <w:t>drugega delodajalca.</w:t>
      </w:r>
      <w:r w:rsidR="002A6D23">
        <w:rPr>
          <w:rFonts w:cstheme="minorHAnsi"/>
          <w:b/>
        </w:rPr>
        <w:t xml:space="preserve"> </w:t>
      </w:r>
      <w:r w:rsidR="003167D2" w:rsidRPr="003167D2">
        <w:rPr>
          <w:rFonts w:cstheme="minorHAnsi"/>
        </w:rPr>
        <w:t>Prijavitelj ni upravičen do prijave na ta razpis, če je država prebivališča prijavitelja enaka državi gostujoče institucije.</w:t>
      </w:r>
    </w:p>
    <w:bookmarkEnd w:id="1"/>
    <w:p w14:paraId="3FD4F1CF" w14:textId="77777777" w:rsidR="00BA2A10" w:rsidRDefault="00BA2A10" w:rsidP="00CE14D1">
      <w:pPr>
        <w:spacing w:after="0" w:line="240" w:lineRule="auto"/>
        <w:jc w:val="both"/>
        <w:rPr>
          <w:rFonts w:cstheme="minorHAnsi"/>
          <w:b/>
        </w:rPr>
      </w:pPr>
    </w:p>
    <w:p w14:paraId="53B4732B" w14:textId="77777777" w:rsidR="006B4263" w:rsidRPr="00071AAB" w:rsidRDefault="006B4263" w:rsidP="00CE14D1">
      <w:pPr>
        <w:spacing w:after="0" w:line="240" w:lineRule="auto"/>
        <w:jc w:val="both"/>
        <w:rPr>
          <w:rFonts w:cstheme="minorHAnsi"/>
          <w:b/>
        </w:rPr>
      </w:pPr>
    </w:p>
    <w:p w14:paraId="7ABB14D2" w14:textId="12773E03" w:rsidR="00157862" w:rsidRPr="006B4263" w:rsidRDefault="006B4263" w:rsidP="006B4263">
      <w:pPr>
        <w:pStyle w:val="Naslov1"/>
      </w:pPr>
      <w:r w:rsidRPr="006B4263">
        <w:t>Destinacije in trajanje mobilnosti</w:t>
      </w:r>
      <w:bookmarkStart w:id="2" w:name="_Hlk21086304"/>
    </w:p>
    <w:p w14:paraId="5BE5DC71" w14:textId="727C24BC" w:rsidR="008E3A8D" w:rsidRPr="00071AAB" w:rsidRDefault="00B8440D" w:rsidP="00CE14D1">
      <w:pPr>
        <w:spacing w:after="0" w:line="240" w:lineRule="auto"/>
        <w:jc w:val="both"/>
        <w:rPr>
          <w:rFonts w:cstheme="minorHAnsi"/>
        </w:rPr>
      </w:pPr>
      <w:r>
        <w:rPr>
          <w:rFonts w:cstheme="minorHAnsi"/>
        </w:rPr>
        <w:t xml:space="preserve">Za </w:t>
      </w:r>
      <w:r w:rsidR="002A6D23">
        <w:rPr>
          <w:rFonts w:cstheme="minorHAnsi"/>
        </w:rPr>
        <w:t xml:space="preserve">navedene </w:t>
      </w:r>
      <w:r>
        <w:rPr>
          <w:rFonts w:cstheme="minorHAnsi"/>
        </w:rPr>
        <w:t>projekt</w:t>
      </w:r>
      <w:r w:rsidR="002A6D23">
        <w:rPr>
          <w:rFonts w:cstheme="minorHAnsi"/>
        </w:rPr>
        <w:t>e</w:t>
      </w:r>
      <w:r>
        <w:rPr>
          <w:rFonts w:cstheme="minorHAnsi"/>
        </w:rPr>
        <w:t xml:space="preserve"> KA171 (</w:t>
      </w:r>
      <w:r w:rsidR="00157862">
        <w:rPr>
          <w:rFonts w:cstheme="minorHAnsi"/>
        </w:rPr>
        <w:t>razpis</w:t>
      </w:r>
      <w:r w:rsidR="002A6D23">
        <w:rPr>
          <w:rFonts w:cstheme="minorHAnsi"/>
        </w:rPr>
        <w:t>i</w:t>
      </w:r>
      <w:r w:rsidR="00157862">
        <w:rPr>
          <w:rFonts w:cstheme="minorHAnsi"/>
        </w:rPr>
        <w:t xml:space="preserve"> </w:t>
      </w:r>
      <w:r>
        <w:rPr>
          <w:rFonts w:cstheme="minorHAnsi"/>
        </w:rPr>
        <w:t>2022</w:t>
      </w:r>
      <w:r w:rsidR="002A6D23">
        <w:rPr>
          <w:rFonts w:cstheme="minorHAnsi"/>
        </w:rPr>
        <w:t>, 2023 in 2024</w:t>
      </w:r>
      <w:r>
        <w:rPr>
          <w:rFonts w:cstheme="minorHAnsi"/>
        </w:rPr>
        <w:t>)</w:t>
      </w:r>
      <w:r w:rsidR="00467D3C">
        <w:rPr>
          <w:rFonts w:cstheme="minorHAnsi"/>
        </w:rPr>
        <w:t xml:space="preserve"> so na voljo naslednje mobilnosti – glejte Tabela 1</w:t>
      </w:r>
      <w:r w:rsidR="002A6D23">
        <w:rPr>
          <w:rFonts w:cstheme="minorHAnsi"/>
        </w:rPr>
        <w:t>, Tabela 2 in Tabela 3</w:t>
      </w:r>
      <w:r w:rsidR="00A51160" w:rsidRPr="00071AAB">
        <w:rPr>
          <w:rFonts w:cstheme="minorHAnsi"/>
        </w:rPr>
        <w:t>:</w:t>
      </w:r>
    </w:p>
    <w:bookmarkEnd w:id="2"/>
    <w:p w14:paraId="0453AD4B" w14:textId="192BB8DE" w:rsidR="001E6BE1" w:rsidRPr="00071AAB" w:rsidRDefault="001E6BE1" w:rsidP="00CE14D1">
      <w:pPr>
        <w:spacing w:after="0" w:line="240" w:lineRule="auto"/>
        <w:jc w:val="both"/>
        <w:rPr>
          <w:rFonts w:cstheme="minorHAnsi"/>
        </w:rPr>
      </w:pPr>
    </w:p>
    <w:p w14:paraId="3D5FCCFA" w14:textId="11885324" w:rsidR="001E6BE1" w:rsidRPr="001A319B" w:rsidRDefault="001E6BE1" w:rsidP="00CE14D1">
      <w:pPr>
        <w:spacing w:after="0" w:line="240" w:lineRule="auto"/>
        <w:jc w:val="both"/>
        <w:rPr>
          <w:rFonts w:cstheme="minorHAnsi"/>
          <w:sz w:val="18"/>
          <w:szCs w:val="18"/>
        </w:rPr>
      </w:pPr>
      <w:r w:rsidRPr="001A319B">
        <w:rPr>
          <w:rFonts w:cstheme="minorHAnsi"/>
          <w:sz w:val="18"/>
          <w:szCs w:val="18"/>
        </w:rPr>
        <w:t>Tabela 1: Seznam odobrenih držav in mobilnosti</w:t>
      </w:r>
      <w:r w:rsidR="000C2ABC" w:rsidRPr="001A319B">
        <w:rPr>
          <w:rFonts w:cstheme="minorHAnsi"/>
          <w:sz w:val="18"/>
          <w:szCs w:val="18"/>
        </w:rPr>
        <w:t xml:space="preserve"> na </w:t>
      </w:r>
      <w:r w:rsidR="002A6D23">
        <w:rPr>
          <w:rFonts w:cstheme="minorHAnsi"/>
          <w:sz w:val="18"/>
          <w:szCs w:val="18"/>
        </w:rPr>
        <w:t xml:space="preserve">B2 </w:t>
      </w:r>
      <w:r w:rsidR="000C2ABC" w:rsidRPr="001A319B">
        <w:rPr>
          <w:rFonts w:cstheme="minorHAnsi"/>
          <w:sz w:val="18"/>
          <w:szCs w:val="18"/>
        </w:rPr>
        <w:t>VŠPV</w:t>
      </w:r>
      <w:r w:rsidR="00157862">
        <w:rPr>
          <w:rFonts w:cstheme="minorHAnsi"/>
          <w:sz w:val="18"/>
          <w:szCs w:val="18"/>
        </w:rPr>
        <w:t xml:space="preserve">, </w:t>
      </w:r>
      <w:r w:rsidR="00157862" w:rsidRPr="00B4230E">
        <w:rPr>
          <w:rFonts w:cstheme="minorHAnsi"/>
          <w:sz w:val="18"/>
          <w:szCs w:val="18"/>
        </w:rPr>
        <w:t>KA171 (</w:t>
      </w:r>
      <w:r w:rsidR="006B4263" w:rsidRPr="00B4230E">
        <w:rPr>
          <w:rFonts w:cstheme="minorHAnsi"/>
          <w:sz w:val="18"/>
          <w:szCs w:val="18"/>
        </w:rPr>
        <w:t xml:space="preserve">razpis </w:t>
      </w:r>
      <w:r w:rsidR="00157862" w:rsidRPr="00B4230E">
        <w:rPr>
          <w:rFonts w:cstheme="minorHAnsi"/>
          <w:sz w:val="18"/>
          <w:szCs w:val="18"/>
        </w:rPr>
        <w:t>2022).</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843"/>
        <w:gridCol w:w="1984"/>
      </w:tblGrid>
      <w:tr w:rsidR="00467D3C" w:rsidRPr="00071AAB" w14:paraId="3A53E727" w14:textId="77777777" w:rsidTr="00DF70A5">
        <w:trPr>
          <w:trHeight w:val="490"/>
        </w:trPr>
        <w:tc>
          <w:tcPr>
            <w:tcW w:w="4815" w:type="dxa"/>
            <w:shd w:val="clear" w:color="auto" w:fill="BFBFBF" w:themeFill="background1" w:themeFillShade="BF"/>
            <w:vAlign w:val="bottom"/>
            <w:hideMark/>
          </w:tcPr>
          <w:p w14:paraId="1F77559C" w14:textId="77777777" w:rsidR="00467D3C" w:rsidRDefault="00467D3C" w:rsidP="00CE14D1">
            <w:pPr>
              <w:spacing w:after="0" w:line="240" w:lineRule="auto"/>
              <w:jc w:val="both"/>
              <w:rPr>
                <w:rFonts w:eastAsia="Times New Roman" w:cstheme="minorHAnsi"/>
                <w:color w:val="000000"/>
                <w:lang w:eastAsia="sl-SI"/>
              </w:rPr>
            </w:pPr>
            <w:bookmarkStart w:id="3" w:name="_Hlk21086346"/>
            <w:r w:rsidRPr="00071AAB">
              <w:rPr>
                <w:rFonts w:eastAsia="Times New Roman" w:cstheme="minorHAnsi"/>
                <w:color w:val="000000"/>
                <w:lang w:eastAsia="sl-SI"/>
              </w:rPr>
              <w:t>Država</w:t>
            </w:r>
            <w:r>
              <w:rPr>
                <w:rFonts w:eastAsia="Times New Roman" w:cstheme="minorHAnsi"/>
                <w:color w:val="000000"/>
                <w:lang w:eastAsia="sl-SI"/>
              </w:rPr>
              <w:t xml:space="preserve"> in tip mobilnosti</w:t>
            </w:r>
          </w:p>
          <w:p w14:paraId="1FFF3AE8" w14:textId="0DA593D0" w:rsidR="006B4263" w:rsidRPr="006B4263" w:rsidRDefault="006B4263" w:rsidP="00CE14D1">
            <w:pPr>
              <w:spacing w:after="0" w:line="240" w:lineRule="auto"/>
              <w:jc w:val="both"/>
              <w:rPr>
                <w:rFonts w:eastAsia="Times New Roman" w:cstheme="minorHAnsi"/>
                <w:color w:val="000000"/>
                <w:lang w:eastAsia="sl-SI"/>
              </w:rPr>
            </w:pPr>
          </w:p>
        </w:tc>
        <w:tc>
          <w:tcPr>
            <w:tcW w:w="1843" w:type="dxa"/>
            <w:shd w:val="clear" w:color="auto" w:fill="BFBFBF" w:themeFill="background1" w:themeFillShade="BF"/>
            <w:vAlign w:val="bottom"/>
            <w:hideMark/>
          </w:tcPr>
          <w:p w14:paraId="25D23E1D" w14:textId="77777777" w:rsidR="00467D3C" w:rsidRDefault="00CB1EA5" w:rsidP="00CB1EA5">
            <w:pPr>
              <w:spacing w:after="0" w:line="240" w:lineRule="auto"/>
              <w:rPr>
                <w:rFonts w:eastAsia="Times New Roman" w:cstheme="minorHAnsi"/>
                <w:color w:val="000000"/>
                <w:lang w:eastAsia="sl-SI"/>
              </w:rPr>
            </w:pPr>
            <w:r>
              <w:rPr>
                <w:rFonts w:eastAsia="Times New Roman" w:cstheme="minorHAnsi"/>
                <w:color w:val="000000"/>
                <w:lang w:eastAsia="sl-SI"/>
              </w:rPr>
              <w:t>Število m</w:t>
            </w:r>
            <w:r w:rsidR="00467D3C">
              <w:rPr>
                <w:rFonts w:eastAsia="Times New Roman" w:cstheme="minorHAnsi"/>
                <w:color w:val="000000"/>
                <w:lang w:eastAsia="sl-SI"/>
              </w:rPr>
              <w:t>obilnost</w:t>
            </w:r>
            <w:r>
              <w:rPr>
                <w:rFonts w:eastAsia="Times New Roman" w:cstheme="minorHAnsi"/>
                <w:color w:val="000000"/>
                <w:lang w:eastAsia="sl-SI"/>
              </w:rPr>
              <w:t>i</w:t>
            </w:r>
            <w:r w:rsidR="00467D3C">
              <w:rPr>
                <w:rFonts w:eastAsia="Times New Roman" w:cstheme="minorHAnsi"/>
                <w:color w:val="000000"/>
                <w:lang w:eastAsia="sl-SI"/>
              </w:rPr>
              <w:t xml:space="preserve"> </w:t>
            </w:r>
          </w:p>
          <w:p w14:paraId="6F45F683" w14:textId="71FE18B2" w:rsidR="006B4263" w:rsidRPr="006C73FC" w:rsidRDefault="006B4263" w:rsidP="00CB1EA5">
            <w:pPr>
              <w:spacing w:after="0" w:line="240" w:lineRule="auto"/>
              <w:rPr>
                <w:rFonts w:eastAsia="Times New Roman" w:cstheme="minorHAnsi"/>
                <w:color w:val="000000"/>
                <w:lang w:eastAsia="sl-SI"/>
              </w:rPr>
            </w:pPr>
          </w:p>
        </w:tc>
        <w:tc>
          <w:tcPr>
            <w:tcW w:w="1984" w:type="dxa"/>
            <w:shd w:val="clear" w:color="auto" w:fill="BFBFBF" w:themeFill="background1" w:themeFillShade="BF"/>
            <w:vAlign w:val="bottom"/>
            <w:hideMark/>
          </w:tcPr>
          <w:p w14:paraId="5D7FDAF3" w14:textId="5FE348D8" w:rsidR="00467D3C" w:rsidRDefault="00467D3C"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T</w:t>
            </w:r>
            <w:r w:rsidRPr="006C73FC">
              <w:rPr>
                <w:rFonts w:eastAsia="Times New Roman" w:cstheme="minorHAnsi"/>
                <w:color w:val="000000"/>
                <w:lang w:eastAsia="sl-SI"/>
              </w:rPr>
              <w:t>rajanje</w:t>
            </w:r>
            <w:r w:rsidR="00DF70A5">
              <w:rPr>
                <w:rFonts w:eastAsia="Times New Roman" w:cstheme="minorHAnsi"/>
                <w:color w:val="000000"/>
                <w:lang w:eastAsia="sl-SI"/>
              </w:rPr>
              <w:t xml:space="preserve"> s potjo</w:t>
            </w:r>
          </w:p>
          <w:p w14:paraId="6A0EE830" w14:textId="1BD1DFB5" w:rsidR="00467D3C" w:rsidRPr="006C73FC" w:rsidRDefault="00467D3C"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w:t>
            </w:r>
            <w:r w:rsidRPr="006C73FC">
              <w:rPr>
                <w:rFonts w:eastAsia="Times New Roman" w:cstheme="minorHAnsi"/>
                <w:color w:val="000000"/>
                <w:lang w:eastAsia="sl-SI"/>
              </w:rPr>
              <w:t>dnevi)</w:t>
            </w:r>
          </w:p>
        </w:tc>
      </w:tr>
      <w:tr w:rsidR="006B4263" w:rsidRPr="00071AAB" w14:paraId="1B5A50A5" w14:textId="77777777" w:rsidTr="00920110">
        <w:trPr>
          <w:trHeight w:val="345"/>
        </w:trPr>
        <w:tc>
          <w:tcPr>
            <w:tcW w:w="4815" w:type="dxa"/>
            <w:shd w:val="clear" w:color="auto" w:fill="auto"/>
            <w:noWrap/>
            <w:vAlign w:val="bottom"/>
          </w:tcPr>
          <w:p w14:paraId="4236663B" w14:textId="463F6DCE" w:rsidR="006B4263" w:rsidRPr="006B4263" w:rsidRDefault="006B4263" w:rsidP="006B4263">
            <w:pPr>
              <w:spacing w:after="0" w:line="240" w:lineRule="auto"/>
              <w:jc w:val="both"/>
              <w:rPr>
                <w:rFonts w:eastAsia="Times New Roman" w:cstheme="minorHAnsi"/>
                <w:color w:val="000000"/>
                <w:lang w:eastAsia="sl-SI"/>
              </w:rPr>
            </w:pPr>
            <w:r w:rsidRPr="006B4263">
              <w:rPr>
                <w:rFonts w:eastAsia="Times New Roman" w:cstheme="minorHAnsi"/>
                <w:color w:val="000000"/>
                <w:lang w:eastAsia="sl-SI"/>
              </w:rPr>
              <w:t>Albanija – poučevanje in usposabljanje</w:t>
            </w:r>
          </w:p>
        </w:tc>
        <w:tc>
          <w:tcPr>
            <w:tcW w:w="1843" w:type="dxa"/>
            <w:shd w:val="clear" w:color="auto" w:fill="auto"/>
            <w:noWrap/>
            <w:vAlign w:val="bottom"/>
          </w:tcPr>
          <w:p w14:paraId="50E05776" w14:textId="50574EE3" w:rsidR="006B4263" w:rsidRPr="006B4263" w:rsidRDefault="002A6D23"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1</w:t>
            </w:r>
          </w:p>
        </w:tc>
        <w:tc>
          <w:tcPr>
            <w:tcW w:w="1984" w:type="dxa"/>
            <w:shd w:val="clear" w:color="auto" w:fill="auto"/>
            <w:noWrap/>
          </w:tcPr>
          <w:p w14:paraId="49881D7D" w14:textId="738ACD95" w:rsidR="006B4263" w:rsidRPr="006B4263" w:rsidRDefault="006B4263" w:rsidP="006B4263">
            <w:pPr>
              <w:spacing w:after="0" w:line="240" w:lineRule="auto"/>
              <w:jc w:val="center"/>
              <w:rPr>
                <w:rFonts w:eastAsia="Times New Roman" w:cstheme="minorHAnsi"/>
                <w:color w:val="000000"/>
                <w:lang w:eastAsia="sl-SI"/>
              </w:rPr>
            </w:pPr>
            <w:r w:rsidRPr="006B4263">
              <w:t>5 + 2</w:t>
            </w:r>
          </w:p>
        </w:tc>
      </w:tr>
      <w:tr w:rsidR="006B4263" w:rsidRPr="00071AAB" w14:paraId="6D7F0FB2" w14:textId="77777777" w:rsidTr="00920110">
        <w:trPr>
          <w:trHeight w:val="345"/>
        </w:trPr>
        <w:tc>
          <w:tcPr>
            <w:tcW w:w="4815" w:type="dxa"/>
            <w:shd w:val="clear" w:color="auto" w:fill="auto"/>
            <w:noWrap/>
            <w:vAlign w:val="bottom"/>
          </w:tcPr>
          <w:p w14:paraId="360911BC" w14:textId="5027D119" w:rsidR="006B4263" w:rsidRPr="006B4263" w:rsidRDefault="006B4263" w:rsidP="006B4263">
            <w:pPr>
              <w:spacing w:after="0" w:line="240" w:lineRule="auto"/>
              <w:jc w:val="both"/>
              <w:rPr>
                <w:rFonts w:eastAsia="Times New Roman" w:cstheme="minorHAnsi"/>
                <w:color w:val="000000"/>
                <w:lang w:eastAsia="sl-SI"/>
              </w:rPr>
            </w:pPr>
            <w:r w:rsidRPr="006B4263">
              <w:rPr>
                <w:rFonts w:eastAsia="Times New Roman" w:cstheme="minorHAnsi"/>
                <w:color w:val="000000"/>
                <w:lang w:eastAsia="sl-SI"/>
              </w:rPr>
              <w:t>Gruzija – poučevanje in usposabljanje</w:t>
            </w:r>
          </w:p>
        </w:tc>
        <w:tc>
          <w:tcPr>
            <w:tcW w:w="1843" w:type="dxa"/>
            <w:shd w:val="clear" w:color="auto" w:fill="auto"/>
            <w:noWrap/>
            <w:vAlign w:val="bottom"/>
          </w:tcPr>
          <w:p w14:paraId="00EE0710" w14:textId="407A496F" w:rsidR="006B4263" w:rsidRPr="006B4263" w:rsidRDefault="002A6D23"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2</w:t>
            </w:r>
          </w:p>
        </w:tc>
        <w:tc>
          <w:tcPr>
            <w:tcW w:w="1984" w:type="dxa"/>
            <w:shd w:val="clear" w:color="auto" w:fill="auto"/>
            <w:noWrap/>
          </w:tcPr>
          <w:p w14:paraId="46919DEB" w14:textId="3F0B27F5" w:rsidR="006B4263" w:rsidRPr="006B4263" w:rsidRDefault="006B4263" w:rsidP="006B4263">
            <w:pPr>
              <w:spacing w:after="0" w:line="240" w:lineRule="auto"/>
              <w:jc w:val="center"/>
              <w:rPr>
                <w:rFonts w:eastAsia="Times New Roman" w:cstheme="minorHAnsi"/>
                <w:color w:val="000000"/>
                <w:lang w:eastAsia="sl-SI"/>
              </w:rPr>
            </w:pPr>
            <w:r w:rsidRPr="006B4263">
              <w:t>5 + 2</w:t>
            </w:r>
          </w:p>
        </w:tc>
      </w:tr>
      <w:bookmarkEnd w:id="3"/>
    </w:tbl>
    <w:p w14:paraId="74CC3334" w14:textId="77777777" w:rsidR="000B114E" w:rsidRPr="00071AAB" w:rsidRDefault="000B114E" w:rsidP="00CE14D1">
      <w:pPr>
        <w:keepNext/>
        <w:spacing w:after="0" w:line="240" w:lineRule="auto"/>
        <w:jc w:val="both"/>
        <w:rPr>
          <w:rFonts w:cstheme="minorHAnsi"/>
          <w:b/>
        </w:rPr>
      </w:pPr>
    </w:p>
    <w:p w14:paraId="4D6973FB" w14:textId="77777777" w:rsidR="00B4230E" w:rsidRDefault="00B4230E" w:rsidP="00157862">
      <w:pPr>
        <w:spacing w:after="0" w:line="240" w:lineRule="auto"/>
        <w:jc w:val="both"/>
        <w:rPr>
          <w:rFonts w:cstheme="minorHAnsi"/>
        </w:rPr>
      </w:pPr>
      <w:bookmarkStart w:id="4" w:name="_Hlk116477318"/>
    </w:p>
    <w:p w14:paraId="68F01BA7" w14:textId="77777777" w:rsidR="00B4230E" w:rsidRDefault="00B4230E" w:rsidP="00157862">
      <w:pPr>
        <w:spacing w:after="0" w:line="240" w:lineRule="auto"/>
        <w:jc w:val="both"/>
        <w:rPr>
          <w:rFonts w:cstheme="minorHAnsi"/>
        </w:rPr>
      </w:pPr>
    </w:p>
    <w:p w14:paraId="6585752A" w14:textId="77777777" w:rsidR="00B4230E" w:rsidRDefault="00B4230E" w:rsidP="00157862">
      <w:pPr>
        <w:spacing w:after="0" w:line="240" w:lineRule="auto"/>
        <w:jc w:val="both"/>
        <w:rPr>
          <w:rFonts w:cstheme="minorHAnsi"/>
        </w:rPr>
      </w:pPr>
    </w:p>
    <w:p w14:paraId="511739F8" w14:textId="77777777" w:rsidR="00B4230E" w:rsidRDefault="00B4230E" w:rsidP="00157862">
      <w:pPr>
        <w:spacing w:after="0" w:line="240" w:lineRule="auto"/>
        <w:jc w:val="both"/>
        <w:rPr>
          <w:rFonts w:cstheme="minorHAnsi"/>
        </w:rPr>
      </w:pPr>
    </w:p>
    <w:p w14:paraId="40329997" w14:textId="77777777" w:rsidR="00B4230E" w:rsidRDefault="00B4230E" w:rsidP="00157862">
      <w:pPr>
        <w:spacing w:after="0" w:line="240" w:lineRule="auto"/>
        <w:jc w:val="both"/>
        <w:rPr>
          <w:rFonts w:cstheme="minorHAnsi"/>
        </w:rPr>
      </w:pPr>
    </w:p>
    <w:p w14:paraId="1DB94EEC" w14:textId="0317B976" w:rsidR="006B4263" w:rsidRPr="006B4263" w:rsidRDefault="006B4263" w:rsidP="00157862">
      <w:pPr>
        <w:spacing w:after="0" w:line="240" w:lineRule="auto"/>
        <w:jc w:val="both"/>
        <w:rPr>
          <w:rFonts w:cstheme="minorHAnsi"/>
          <w:sz w:val="18"/>
          <w:szCs w:val="18"/>
        </w:rPr>
      </w:pPr>
      <w:r w:rsidRPr="001A319B">
        <w:rPr>
          <w:rFonts w:cstheme="minorHAnsi"/>
          <w:sz w:val="18"/>
          <w:szCs w:val="18"/>
        </w:rPr>
        <w:lastRenderedPageBreak/>
        <w:t xml:space="preserve">Tabela </w:t>
      </w:r>
      <w:r>
        <w:rPr>
          <w:rFonts w:cstheme="minorHAnsi"/>
          <w:sz w:val="18"/>
          <w:szCs w:val="18"/>
        </w:rPr>
        <w:t>2</w:t>
      </w:r>
      <w:r w:rsidRPr="001A319B">
        <w:rPr>
          <w:rFonts w:cstheme="minorHAnsi"/>
          <w:sz w:val="18"/>
          <w:szCs w:val="18"/>
        </w:rPr>
        <w:t xml:space="preserve">: Seznam odobrenih držav in mobilnosti na </w:t>
      </w:r>
      <w:r w:rsidR="002A6D23">
        <w:rPr>
          <w:rFonts w:cstheme="minorHAnsi"/>
          <w:sz w:val="18"/>
          <w:szCs w:val="18"/>
        </w:rPr>
        <w:t xml:space="preserve">B2 </w:t>
      </w:r>
      <w:r w:rsidRPr="001A319B">
        <w:rPr>
          <w:rFonts w:cstheme="minorHAnsi"/>
          <w:sz w:val="18"/>
          <w:szCs w:val="18"/>
        </w:rPr>
        <w:t>VŠPV</w:t>
      </w:r>
      <w:r w:rsidRPr="00B4230E">
        <w:rPr>
          <w:rFonts w:cstheme="minorHAnsi"/>
          <w:sz w:val="18"/>
          <w:szCs w:val="18"/>
        </w:rPr>
        <w:t>, KA171 (razpis 2023).</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843"/>
        <w:gridCol w:w="1984"/>
      </w:tblGrid>
      <w:tr w:rsidR="00157862" w:rsidRPr="00071AAB" w14:paraId="531E2FC1" w14:textId="77777777" w:rsidTr="00E81182">
        <w:trPr>
          <w:trHeight w:val="490"/>
        </w:trPr>
        <w:tc>
          <w:tcPr>
            <w:tcW w:w="4815" w:type="dxa"/>
            <w:shd w:val="clear" w:color="auto" w:fill="BFBFBF" w:themeFill="background1" w:themeFillShade="BF"/>
            <w:vAlign w:val="bottom"/>
            <w:hideMark/>
          </w:tcPr>
          <w:p w14:paraId="617E9B89" w14:textId="77777777" w:rsidR="00157862" w:rsidRDefault="00157862" w:rsidP="00E81182">
            <w:pPr>
              <w:spacing w:after="0" w:line="240" w:lineRule="auto"/>
              <w:jc w:val="both"/>
              <w:rPr>
                <w:rFonts w:eastAsia="Times New Roman" w:cstheme="minorHAnsi"/>
                <w:color w:val="000000"/>
                <w:lang w:eastAsia="sl-SI"/>
              </w:rPr>
            </w:pPr>
            <w:r w:rsidRPr="00071AAB">
              <w:rPr>
                <w:rFonts w:eastAsia="Times New Roman" w:cstheme="minorHAnsi"/>
                <w:color w:val="000000"/>
                <w:lang w:eastAsia="sl-SI"/>
              </w:rPr>
              <w:t>Država</w:t>
            </w:r>
            <w:r>
              <w:rPr>
                <w:rFonts w:eastAsia="Times New Roman" w:cstheme="minorHAnsi"/>
                <w:color w:val="000000"/>
                <w:lang w:eastAsia="sl-SI"/>
              </w:rPr>
              <w:t xml:space="preserve"> in tip mobilnosti</w:t>
            </w:r>
          </w:p>
          <w:p w14:paraId="5EED5C52" w14:textId="401BF287" w:rsidR="006B4263" w:rsidRPr="006B4263" w:rsidRDefault="006B4263" w:rsidP="00E81182">
            <w:pPr>
              <w:spacing w:after="0" w:line="240" w:lineRule="auto"/>
              <w:jc w:val="both"/>
              <w:rPr>
                <w:rFonts w:eastAsia="Times New Roman" w:cstheme="minorHAnsi"/>
                <w:color w:val="000000"/>
                <w:lang w:eastAsia="sl-SI"/>
              </w:rPr>
            </w:pPr>
          </w:p>
        </w:tc>
        <w:tc>
          <w:tcPr>
            <w:tcW w:w="1843" w:type="dxa"/>
            <w:shd w:val="clear" w:color="auto" w:fill="BFBFBF" w:themeFill="background1" w:themeFillShade="BF"/>
            <w:vAlign w:val="bottom"/>
            <w:hideMark/>
          </w:tcPr>
          <w:p w14:paraId="34B41072" w14:textId="77777777" w:rsidR="00157862" w:rsidRDefault="00157862" w:rsidP="00E81182">
            <w:pPr>
              <w:spacing w:after="0" w:line="240" w:lineRule="auto"/>
              <w:rPr>
                <w:rFonts w:eastAsia="Times New Roman" w:cstheme="minorHAnsi"/>
                <w:color w:val="000000"/>
                <w:lang w:eastAsia="sl-SI"/>
              </w:rPr>
            </w:pPr>
            <w:r>
              <w:rPr>
                <w:rFonts w:eastAsia="Times New Roman" w:cstheme="minorHAnsi"/>
                <w:color w:val="000000"/>
                <w:lang w:eastAsia="sl-SI"/>
              </w:rPr>
              <w:t xml:space="preserve">Število mobilnosti </w:t>
            </w:r>
          </w:p>
          <w:p w14:paraId="52FB9AB7" w14:textId="3E8429D0" w:rsidR="006B4263" w:rsidRPr="006C73FC" w:rsidRDefault="006B4263" w:rsidP="00E81182">
            <w:pPr>
              <w:spacing w:after="0" w:line="240" w:lineRule="auto"/>
              <w:rPr>
                <w:rFonts w:eastAsia="Times New Roman" w:cstheme="minorHAnsi"/>
                <w:color w:val="000000"/>
                <w:lang w:eastAsia="sl-SI"/>
              </w:rPr>
            </w:pPr>
          </w:p>
        </w:tc>
        <w:tc>
          <w:tcPr>
            <w:tcW w:w="1984" w:type="dxa"/>
            <w:shd w:val="clear" w:color="auto" w:fill="BFBFBF" w:themeFill="background1" w:themeFillShade="BF"/>
            <w:vAlign w:val="bottom"/>
            <w:hideMark/>
          </w:tcPr>
          <w:p w14:paraId="196B5206" w14:textId="2D6E773D" w:rsidR="00157862" w:rsidRDefault="00157862"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T</w:t>
            </w:r>
            <w:r w:rsidRPr="006C73FC">
              <w:rPr>
                <w:rFonts w:eastAsia="Times New Roman" w:cstheme="minorHAnsi"/>
                <w:color w:val="000000"/>
                <w:lang w:eastAsia="sl-SI"/>
              </w:rPr>
              <w:t>rajanje</w:t>
            </w:r>
            <w:r>
              <w:rPr>
                <w:rFonts w:eastAsia="Times New Roman" w:cstheme="minorHAnsi"/>
                <w:color w:val="000000"/>
                <w:lang w:eastAsia="sl-SI"/>
              </w:rPr>
              <w:t xml:space="preserve"> s potjo</w:t>
            </w:r>
          </w:p>
          <w:p w14:paraId="4536671A" w14:textId="77777777" w:rsidR="00157862" w:rsidRPr="006C73FC" w:rsidRDefault="00157862"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w:t>
            </w:r>
            <w:r w:rsidRPr="006C73FC">
              <w:rPr>
                <w:rFonts w:eastAsia="Times New Roman" w:cstheme="minorHAnsi"/>
                <w:color w:val="000000"/>
                <w:lang w:eastAsia="sl-SI"/>
              </w:rPr>
              <w:t>dnevi)</w:t>
            </w:r>
          </w:p>
        </w:tc>
      </w:tr>
      <w:tr w:rsidR="00157862" w:rsidRPr="00071AAB" w14:paraId="248F7B94" w14:textId="77777777" w:rsidTr="00E81182">
        <w:trPr>
          <w:trHeight w:val="345"/>
        </w:trPr>
        <w:tc>
          <w:tcPr>
            <w:tcW w:w="4815" w:type="dxa"/>
            <w:shd w:val="clear" w:color="auto" w:fill="auto"/>
            <w:noWrap/>
            <w:vAlign w:val="bottom"/>
          </w:tcPr>
          <w:p w14:paraId="631DCAC1" w14:textId="77777777" w:rsidR="00157862" w:rsidRPr="008E4151" w:rsidRDefault="00157862" w:rsidP="00E81182">
            <w:pPr>
              <w:spacing w:after="0" w:line="240" w:lineRule="auto"/>
              <w:jc w:val="both"/>
              <w:rPr>
                <w:rFonts w:eastAsia="Times New Roman" w:cstheme="minorHAnsi"/>
                <w:color w:val="000000"/>
                <w:lang w:eastAsia="sl-SI"/>
              </w:rPr>
            </w:pPr>
            <w:r w:rsidRPr="008E4151">
              <w:rPr>
                <w:rFonts w:eastAsia="Times New Roman" w:cstheme="minorHAnsi"/>
                <w:color w:val="000000"/>
                <w:lang w:eastAsia="sl-SI"/>
              </w:rPr>
              <w:t>Bosna in Hercegovina – poučevanje in usposabljanje</w:t>
            </w:r>
          </w:p>
        </w:tc>
        <w:tc>
          <w:tcPr>
            <w:tcW w:w="1843" w:type="dxa"/>
            <w:shd w:val="clear" w:color="auto" w:fill="auto"/>
            <w:noWrap/>
            <w:vAlign w:val="bottom"/>
          </w:tcPr>
          <w:p w14:paraId="08F844A7" w14:textId="2631D8B1" w:rsidR="00157862" w:rsidRPr="008E4151" w:rsidRDefault="00B4230E"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6</w:t>
            </w:r>
          </w:p>
        </w:tc>
        <w:tc>
          <w:tcPr>
            <w:tcW w:w="1984" w:type="dxa"/>
            <w:shd w:val="clear" w:color="auto" w:fill="auto"/>
            <w:noWrap/>
            <w:vAlign w:val="bottom"/>
          </w:tcPr>
          <w:p w14:paraId="376E7BC8" w14:textId="5B4002DD" w:rsidR="00157862" w:rsidRPr="008E4151" w:rsidRDefault="006B4263"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5 + 2</w:t>
            </w:r>
          </w:p>
        </w:tc>
      </w:tr>
      <w:tr w:rsidR="00157862" w:rsidRPr="00071AAB" w14:paraId="0254AA3C" w14:textId="77777777" w:rsidTr="00E81182">
        <w:trPr>
          <w:trHeight w:val="345"/>
        </w:trPr>
        <w:tc>
          <w:tcPr>
            <w:tcW w:w="4815" w:type="dxa"/>
            <w:shd w:val="clear" w:color="auto" w:fill="auto"/>
            <w:noWrap/>
            <w:vAlign w:val="bottom"/>
          </w:tcPr>
          <w:p w14:paraId="2F84A107" w14:textId="77777777" w:rsidR="00157862" w:rsidRPr="008E4151" w:rsidRDefault="00157862" w:rsidP="00E81182">
            <w:pPr>
              <w:spacing w:after="0" w:line="240" w:lineRule="auto"/>
              <w:jc w:val="both"/>
              <w:rPr>
                <w:rFonts w:eastAsia="Times New Roman" w:cstheme="minorHAnsi"/>
                <w:color w:val="000000"/>
                <w:lang w:eastAsia="sl-SI"/>
              </w:rPr>
            </w:pPr>
            <w:r w:rsidRPr="008E4151">
              <w:rPr>
                <w:rFonts w:eastAsia="Times New Roman" w:cstheme="minorHAnsi"/>
                <w:color w:val="000000"/>
                <w:lang w:eastAsia="sl-SI"/>
              </w:rPr>
              <w:t>Črna gora – poučevanje in usposabljanje</w:t>
            </w:r>
          </w:p>
        </w:tc>
        <w:tc>
          <w:tcPr>
            <w:tcW w:w="1843" w:type="dxa"/>
            <w:shd w:val="clear" w:color="auto" w:fill="auto"/>
            <w:noWrap/>
            <w:vAlign w:val="bottom"/>
          </w:tcPr>
          <w:p w14:paraId="0E224F3B" w14:textId="703B18C3" w:rsidR="00157862" w:rsidRPr="008E4151" w:rsidRDefault="00B4230E"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5</w:t>
            </w:r>
          </w:p>
        </w:tc>
        <w:tc>
          <w:tcPr>
            <w:tcW w:w="1984" w:type="dxa"/>
            <w:shd w:val="clear" w:color="auto" w:fill="auto"/>
            <w:noWrap/>
            <w:vAlign w:val="bottom"/>
          </w:tcPr>
          <w:p w14:paraId="55463B10" w14:textId="61B530BD" w:rsidR="00157862" w:rsidRPr="008E4151" w:rsidRDefault="006B4263" w:rsidP="006B4263">
            <w:pPr>
              <w:spacing w:after="0" w:line="240" w:lineRule="auto"/>
              <w:jc w:val="center"/>
              <w:rPr>
                <w:rFonts w:eastAsia="Times New Roman" w:cstheme="minorHAnsi"/>
                <w:color w:val="000000"/>
                <w:lang w:eastAsia="sl-SI"/>
              </w:rPr>
            </w:pPr>
            <w:r>
              <w:rPr>
                <w:rFonts w:eastAsia="Times New Roman" w:cstheme="minorHAnsi"/>
                <w:color w:val="000000"/>
                <w:lang w:eastAsia="sl-SI"/>
              </w:rPr>
              <w:t>5 + 2</w:t>
            </w:r>
          </w:p>
        </w:tc>
      </w:tr>
    </w:tbl>
    <w:p w14:paraId="09EA1719" w14:textId="77777777" w:rsidR="00157862" w:rsidRDefault="00157862" w:rsidP="00CE14D1">
      <w:pPr>
        <w:keepNext/>
        <w:spacing w:after="0" w:line="240" w:lineRule="auto"/>
        <w:jc w:val="both"/>
        <w:rPr>
          <w:rFonts w:cstheme="minorHAnsi"/>
          <w:b/>
        </w:rPr>
      </w:pPr>
    </w:p>
    <w:p w14:paraId="7DA7D6C8" w14:textId="77777777" w:rsidR="002A6D23" w:rsidRDefault="002A6D23" w:rsidP="00CE14D1">
      <w:pPr>
        <w:keepNext/>
        <w:spacing w:after="0" w:line="240" w:lineRule="auto"/>
        <w:jc w:val="both"/>
        <w:rPr>
          <w:rFonts w:cstheme="minorHAnsi"/>
          <w:b/>
        </w:rPr>
      </w:pPr>
    </w:p>
    <w:bookmarkEnd w:id="4"/>
    <w:p w14:paraId="62D90D98" w14:textId="720042A4" w:rsidR="002A6D23" w:rsidRPr="001A319B" w:rsidRDefault="002A6D23" w:rsidP="002A6D23">
      <w:pPr>
        <w:spacing w:after="0" w:line="240" w:lineRule="auto"/>
        <w:jc w:val="both"/>
        <w:rPr>
          <w:rFonts w:cstheme="minorHAnsi"/>
          <w:sz w:val="18"/>
          <w:szCs w:val="18"/>
        </w:rPr>
      </w:pPr>
      <w:r w:rsidRPr="001A319B">
        <w:rPr>
          <w:rFonts w:cstheme="minorHAnsi"/>
          <w:sz w:val="18"/>
          <w:szCs w:val="18"/>
        </w:rPr>
        <w:t xml:space="preserve">Tabela </w:t>
      </w:r>
      <w:r>
        <w:rPr>
          <w:rFonts w:cstheme="minorHAnsi"/>
          <w:sz w:val="18"/>
          <w:szCs w:val="18"/>
        </w:rPr>
        <w:t>3</w:t>
      </w:r>
      <w:r w:rsidRPr="001A319B">
        <w:rPr>
          <w:rFonts w:cstheme="minorHAnsi"/>
          <w:sz w:val="18"/>
          <w:szCs w:val="18"/>
        </w:rPr>
        <w:t xml:space="preserve">: Seznam odobrenih držav in mobilnosti </w:t>
      </w:r>
      <w:r w:rsidRPr="00D2408D">
        <w:rPr>
          <w:rFonts w:cstheme="minorHAnsi"/>
          <w:sz w:val="18"/>
          <w:szCs w:val="18"/>
        </w:rPr>
        <w:t>na B2 VŠPV, KA171 (razpis 2024).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1843"/>
        <w:gridCol w:w="1984"/>
      </w:tblGrid>
      <w:tr w:rsidR="002A6D23" w:rsidRPr="00071AAB" w14:paraId="72DC70AD" w14:textId="77777777" w:rsidTr="00A74E01">
        <w:trPr>
          <w:trHeight w:val="490"/>
        </w:trPr>
        <w:tc>
          <w:tcPr>
            <w:tcW w:w="4815" w:type="dxa"/>
            <w:shd w:val="clear" w:color="auto" w:fill="BFBFBF" w:themeFill="background1" w:themeFillShade="BF"/>
            <w:vAlign w:val="bottom"/>
            <w:hideMark/>
          </w:tcPr>
          <w:p w14:paraId="3BEB739C" w14:textId="77777777" w:rsidR="002A6D23" w:rsidRDefault="002A6D23" w:rsidP="00A74E01">
            <w:pPr>
              <w:spacing w:after="0" w:line="240" w:lineRule="auto"/>
              <w:jc w:val="both"/>
              <w:rPr>
                <w:rFonts w:eastAsia="Times New Roman" w:cstheme="minorHAnsi"/>
                <w:color w:val="000000"/>
                <w:lang w:eastAsia="sl-SI"/>
              </w:rPr>
            </w:pPr>
            <w:r w:rsidRPr="00071AAB">
              <w:rPr>
                <w:rFonts w:eastAsia="Times New Roman" w:cstheme="minorHAnsi"/>
                <w:color w:val="000000"/>
                <w:lang w:eastAsia="sl-SI"/>
              </w:rPr>
              <w:t>Država</w:t>
            </w:r>
            <w:r>
              <w:rPr>
                <w:rFonts w:eastAsia="Times New Roman" w:cstheme="minorHAnsi"/>
                <w:color w:val="000000"/>
                <w:lang w:eastAsia="sl-SI"/>
              </w:rPr>
              <w:t xml:space="preserve"> in tip mobilnosti</w:t>
            </w:r>
          </w:p>
          <w:p w14:paraId="52BEF705" w14:textId="77777777" w:rsidR="002A6D23" w:rsidRPr="006B4263" w:rsidRDefault="002A6D23" w:rsidP="00A74E01">
            <w:pPr>
              <w:spacing w:after="0" w:line="240" w:lineRule="auto"/>
              <w:jc w:val="both"/>
              <w:rPr>
                <w:rFonts w:eastAsia="Times New Roman" w:cstheme="minorHAnsi"/>
                <w:color w:val="000000"/>
                <w:lang w:eastAsia="sl-SI"/>
              </w:rPr>
            </w:pPr>
          </w:p>
        </w:tc>
        <w:tc>
          <w:tcPr>
            <w:tcW w:w="1843" w:type="dxa"/>
            <w:shd w:val="clear" w:color="auto" w:fill="BFBFBF" w:themeFill="background1" w:themeFillShade="BF"/>
            <w:vAlign w:val="bottom"/>
            <w:hideMark/>
          </w:tcPr>
          <w:p w14:paraId="0317625F" w14:textId="77777777" w:rsidR="002A6D23" w:rsidRDefault="002A6D23" w:rsidP="00A74E01">
            <w:pPr>
              <w:spacing w:after="0" w:line="240" w:lineRule="auto"/>
              <w:rPr>
                <w:rFonts w:eastAsia="Times New Roman" w:cstheme="minorHAnsi"/>
                <w:color w:val="000000"/>
                <w:lang w:eastAsia="sl-SI"/>
              </w:rPr>
            </w:pPr>
            <w:r>
              <w:rPr>
                <w:rFonts w:eastAsia="Times New Roman" w:cstheme="minorHAnsi"/>
                <w:color w:val="000000"/>
                <w:lang w:eastAsia="sl-SI"/>
              </w:rPr>
              <w:t xml:space="preserve">Število mobilnosti </w:t>
            </w:r>
          </w:p>
          <w:p w14:paraId="33258B0A" w14:textId="77777777" w:rsidR="002A6D23" w:rsidRPr="006C73FC" w:rsidRDefault="002A6D23" w:rsidP="00A74E01">
            <w:pPr>
              <w:spacing w:after="0" w:line="240" w:lineRule="auto"/>
              <w:rPr>
                <w:rFonts w:eastAsia="Times New Roman" w:cstheme="minorHAnsi"/>
                <w:color w:val="000000"/>
                <w:lang w:eastAsia="sl-SI"/>
              </w:rPr>
            </w:pPr>
          </w:p>
        </w:tc>
        <w:tc>
          <w:tcPr>
            <w:tcW w:w="1984" w:type="dxa"/>
            <w:shd w:val="clear" w:color="auto" w:fill="BFBFBF" w:themeFill="background1" w:themeFillShade="BF"/>
            <w:vAlign w:val="bottom"/>
            <w:hideMark/>
          </w:tcPr>
          <w:p w14:paraId="4253BEC6" w14:textId="77777777" w:rsidR="002A6D23" w:rsidRDefault="002A6D23"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T</w:t>
            </w:r>
            <w:r w:rsidRPr="006C73FC">
              <w:rPr>
                <w:rFonts w:eastAsia="Times New Roman" w:cstheme="minorHAnsi"/>
                <w:color w:val="000000"/>
                <w:lang w:eastAsia="sl-SI"/>
              </w:rPr>
              <w:t>rajanje</w:t>
            </w:r>
            <w:r>
              <w:rPr>
                <w:rFonts w:eastAsia="Times New Roman" w:cstheme="minorHAnsi"/>
                <w:color w:val="000000"/>
                <w:lang w:eastAsia="sl-SI"/>
              </w:rPr>
              <w:t xml:space="preserve"> s potjo</w:t>
            </w:r>
          </w:p>
          <w:p w14:paraId="21CA8EFE" w14:textId="77777777" w:rsidR="002A6D23" w:rsidRPr="006C73FC" w:rsidRDefault="002A6D23"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w:t>
            </w:r>
            <w:r w:rsidRPr="006C73FC">
              <w:rPr>
                <w:rFonts w:eastAsia="Times New Roman" w:cstheme="minorHAnsi"/>
                <w:color w:val="000000"/>
                <w:lang w:eastAsia="sl-SI"/>
              </w:rPr>
              <w:t>dnevi)</w:t>
            </w:r>
          </w:p>
        </w:tc>
      </w:tr>
      <w:tr w:rsidR="002A6D23" w:rsidRPr="00071AAB" w14:paraId="1297435D" w14:textId="77777777" w:rsidTr="00A74E01">
        <w:trPr>
          <w:trHeight w:val="345"/>
        </w:trPr>
        <w:tc>
          <w:tcPr>
            <w:tcW w:w="4815" w:type="dxa"/>
            <w:shd w:val="clear" w:color="auto" w:fill="auto"/>
            <w:noWrap/>
            <w:vAlign w:val="bottom"/>
          </w:tcPr>
          <w:p w14:paraId="0DDB84DA" w14:textId="307D1D0D" w:rsidR="002A6D23" w:rsidRPr="006B4263" w:rsidRDefault="002A6D23" w:rsidP="00A74E01">
            <w:pPr>
              <w:spacing w:after="0" w:line="240" w:lineRule="auto"/>
              <w:jc w:val="both"/>
              <w:rPr>
                <w:rFonts w:eastAsia="Times New Roman" w:cstheme="minorHAnsi"/>
                <w:color w:val="000000"/>
                <w:lang w:eastAsia="sl-SI"/>
              </w:rPr>
            </w:pPr>
            <w:r>
              <w:rPr>
                <w:rFonts w:eastAsia="Times New Roman" w:cstheme="minorHAnsi"/>
                <w:color w:val="000000"/>
                <w:lang w:eastAsia="sl-SI"/>
              </w:rPr>
              <w:t>Butan</w:t>
            </w:r>
            <w:r w:rsidRPr="006B4263">
              <w:rPr>
                <w:rFonts w:eastAsia="Times New Roman" w:cstheme="minorHAnsi"/>
                <w:color w:val="000000"/>
                <w:lang w:eastAsia="sl-SI"/>
              </w:rPr>
              <w:t xml:space="preserve"> – poučevanje in usposabljanje</w:t>
            </w:r>
          </w:p>
        </w:tc>
        <w:tc>
          <w:tcPr>
            <w:tcW w:w="1843" w:type="dxa"/>
            <w:shd w:val="clear" w:color="auto" w:fill="auto"/>
            <w:noWrap/>
            <w:vAlign w:val="bottom"/>
          </w:tcPr>
          <w:p w14:paraId="3984572B" w14:textId="59249F4E" w:rsidR="002A6D23" w:rsidRPr="006B4263" w:rsidRDefault="00B4230E"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1</w:t>
            </w:r>
          </w:p>
        </w:tc>
        <w:tc>
          <w:tcPr>
            <w:tcW w:w="1984" w:type="dxa"/>
            <w:shd w:val="clear" w:color="auto" w:fill="auto"/>
            <w:noWrap/>
          </w:tcPr>
          <w:p w14:paraId="2510DA66" w14:textId="1541E03C" w:rsidR="002A6D23" w:rsidRPr="006B4263" w:rsidRDefault="00B4230E" w:rsidP="00A74E01">
            <w:pPr>
              <w:spacing w:after="0" w:line="240" w:lineRule="auto"/>
              <w:jc w:val="center"/>
              <w:rPr>
                <w:rFonts w:eastAsia="Times New Roman" w:cstheme="minorHAnsi"/>
                <w:color w:val="000000"/>
                <w:lang w:eastAsia="sl-SI"/>
              </w:rPr>
            </w:pPr>
            <w:r>
              <w:t>10</w:t>
            </w:r>
            <w:r w:rsidR="002A6D23" w:rsidRPr="006B4263">
              <w:t xml:space="preserve"> + 2</w:t>
            </w:r>
          </w:p>
        </w:tc>
      </w:tr>
      <w:tr w:rsidR="002A6D23" w:rsidRPr="00071AAB" w14:paraId="2923E450" w14:textId="77777777" w:rsidTr="00A74E01">
        <w:trPr>
          <w:trHeight w:val="345"/>
        </w:trPr>
        <w:tc>
          <w:tcPr>
            <w:tcW w:w="4815" w:type="dxa"/>
            <w:shd w:val="clear" w:color="auto" w:fill="auto"/>
            <w:noWrap/>
            <w:vAlign w:val="bottom"/>
          </w:tcPr>
          <w:p w14:paraId="50000520" w14:textId="101C304F" w:rsidR="002A6D23" w:rsidRPr="006B4263" w:rsidRDefault="002A6D23" w:rsidP="00A74E01">
            <w:pPr>
              <w:spacing w:after="0" w:line="240" w:lineRule="auto"/>
              <w:jc w:val="both"/>
              <w:rPr>
                <w:rFonts w:eastAsia="Times New Roman" w:cstheme="minorHAnsi"/>
                <w:color w:val="000000"/>
                <w:lang w:eastAsia="sl-SI"/>
              </w:rPr>
            </w:pPr>
            <w:r>
              <w:rPr>
                <w:rFonts w:eastAsia="Times New Roman" w:cstheme="minorHAnsi"/>
                <w:color w:val="000000"/>
                <w:lang w:eastAsia="sl-SI"/>
              </w:rPr>
              <w:t>Malezija</w:t>
            </w:r>
            <w:r w:rsidRPr="006B4263">
              <w:rPr>
                <w:rFonts w:eastAsia="Times New Roman" w:cstheme="minorHAnsi"/>
                <w:color w:val="000000"/>
                <w:lang w:eastAsia="sl-SI"/>
              </w:rPr>
              <w:t xml:space="preserve"> – poučevanje in usposabljanje</w:t>
            </w:r>
          </w:p>
        </w:tc>
        <w:tc>
          <w:tcPr>
            <w:tcW w:w="1843" w:type="dxa"/>
            <w:shd w:val="clear" w:color="auto" w:fill="auto"/>
            <w:noWrap/>
            <w:vAlign w:val="bottom"/>
          </w:tcPr>
          <w:p w14:paraId="2BD17B43" w14:textId="6D005C4F" w:rsidR="002A6D23" w:rsidRPr="006B4263" w:rsidRDefault="00B4230E"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2</w:t>
            </w:r>
          </w:p>
        </w:tc>
        <w:tc>
          <w:tcPr>
            <w:tcW w:w="1984" w:type="dxa"/>
            <w:shd w:val="clear" w:color="auto" w:fill="auto"/>
            <w:noWrap/>
          </w:tcPr>
          <w:p w14:paraId="1E727CA1" w14:textId="075A7FD9" w:rsidR="002A6D23" w:rsidRPr="006B4263" w:rsidRDefault="00B4230E" w:rsidP="00A74E01">
            <w:pPr>
              <w:spacing w:after="0" w:line="240" w:lineRule="auto"/>
              <w:jc w:val="center"/>
              <w:rPr>
                <w:rFonts w:eastAsia="Times New Roman" w:cstheme="minorHAnsi"/>
                <w:color w:val="000000"/>
                <w:lang w:eastAsia="sl-SI"/>
              </w:rPr>
            </w:pPr>
            <w:r>
              <w:t>10</w:t>
            </w:r>
            <w:r w:rsidR="002A6D23" w:rsidRPr="006B4263">
              <w:t xml:space="preserve"> + 2</w:t>
            </w:r>
          </w:p>
        </w:tc>
      </w:tr>
      <w:tr w:rsidR="002A6D23" w:rsidRPr="00071AAB" w14:paraId="5D7E1709" w14:textId="77777777" w:rsidTr="00A74E01">
        <w:trPr>
          <w:trHeight w:val="345"/>
        </w:trPr>
        <w:tc>
          <w:tcPr>
            <w:tcW w:w="4815" w:type="dxa"/>
            <w:shd w:val="clear" w:color="auto" w:fill="auto"/>
            <w:noWrap/>
            <w:vAlign w:val="bottom"/>
          </w:tcPr>
          <w:p w14:paraId="2418D940" w14:textId="25EE6B2F" w:rsidR="002A6D23" w:rsidRPr="006B4263" w:rsidRDefault="002A6D23" w:rsidP="00A74E01">
            <w:pPr>
              <w:spacing w:after="0" w:line="240" w:lineRule="auto"/>
              <w:jc w:val="both"/>
              <w:rPr>
                <w:rFonts w:eastAsia="Times New Roman" w:cstheme="minorHAnsi"/>
                <w:color w:val="000000"/>
                <w:lang w:eastAsia="sl-SI"/>
              </w:rPr>
            </w:pPr>
            <w:r w:rsidRPr="002A6D23">
              <w:rPr>
                <w:rFonts w:eastAsia="Times New Roman" w:cstheme="minorHAnsi"/>
                <w:color w:val="000000"/>
                <w:lang w:eastAsia="sl-SI"/>
              </w:rPr>
              <w:t>Azerbajdžan</w:t>
            </w:r>
            <w:r w:rsidRPr="006B4263">
              <w:rPr>
                <w:rFonts w:eastAsia="Times New Roman" w:cstheme="minorHAnsi"/>
                <w:color w:val="000000"/>
                <w:lang w:eastAsia="sl-SI"/>
              </w:rPr>
              <w:t xml:space="preserve"> – poučevanje in usposabljanje</w:t>
            </w:r>
          </w:p>
        </w:tc>
        <w:tc>
          <w:tcPr>
            <w:tcW w:w="1843" w:type="dxa"/>
            <w:shd w:val="clear" w:color="auto" w:fill="auto"/>
            <w:noWrap/>
            <w:vAlign w:val="bottom"/>
          </w:tcPr>
          <w:p w14:paraId="68532053" w14:textId="1D2DEC1F" w:rsidR="002A6D23" w:rsidRPr="006B4263" w:rsidRDefault="00B4230E"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1</w:t>
            </w:r>
          </w:p>
        </w:tc>
        <w:tc>
          <w:tcPr>
            <w:tcW w:w="1984" w:type="dxa"/>
            <w:shd w:val="clear" w:color="auto" w:fill="auto"/>
            <w:noWrap/>
            <w:vAlign w:val="bottom"/>
          </w:tcPr>
          <w:p w14:paraId="580BF335" w14:textId="1A95EF46" w:rsidR="002A6D23" w:rsidRPr="006B4263" w:rsidRDefault="00B4230E" w:rsidP="00A74E01">
            <w:pPr>
              <w:spacing w:after="0" w:line="240" w:lineRule="auto"/>
              <w:jc w:val="center"/>
              <w:rPr>
                <w:rFonts w:eastAsia="Times New Roman" w:cstheme="minorHAnsi"/>
                <w:color w:val="000000"/>
                <w:lang w:eastAsia="sl-SI"/>
              </w:rPr>
            </w:pPr>
            <w:r w:rsidRPr="006B4263">
              <w:t>5 + 2</w:t>
            </w:r>
          </w:p>
        </w:tc>
      </w:tr>
      <w:tr w:rsidR="002A6D23" w:rsidRPr="00071AAB" w14:paraId="3A30A9BA" w14:textId="77777777" w:rsidTr="00A74E01">
        <w:trPr>
          <w:trHeight w:val="345"/>
        </w:trPr>
        <w:tc>
          <w:tcPr>
            <w:tcW w:w="4815" w:type="dxa"/>
            <w:shd w:val="clear" w:color="auto" w:fill="auto"/>
            <w:noWrap/>
            <w:vAlign w:val="bottom"/>
          </w:tcPr>
          <w:p w14:paraId="7C8E2B39" w14:textId="43489C11" w:rsidR="002A6D23" w:rsidRPr="002A6D23" w:rsidRDefault="002A6D23" w:rsidP="00A74E01">
            <w:pPr>
              <w:spacing w:after="0" w:line="240" w:lineRule="auto"/>
              <w:jc w:val="both"/>
              <w:rPr>
                <w:rFonts w:eastAsia="Times New Roman" w:cstheme="minorHAnsi"/>
                <w:color w:val="000000"/>
                <w:lang w:eastAsia="sl-SI"/>
              </w:rPr>
            </w:pPr>
            <w:r>
              <w:rPr>
                <w:rFonts w:eastAsia="Times New Roman" w:cstheme="minorHAnsi"/>
                <w:color w:val="000000"/>
                <w:lang w:eastAsia="sl-SI"/>
              </w:rPr>
              <w:t xml:space="preserve">Gruzija </w:t>
            </w:r>
            <w:r w:rsidRPr="006B4263">
              <w:rPr>
                <w:rFonts w:eastAsia="Times New Roman" w:cstheme="minorHAnsi"/>
                <w:color w:val="000000"/>
                <w:lang w:eastAsia="sl-SI"/>
              </w:rPr>
              <w:t>– poučevanje in usposabljanje</w:t>
            </w:r>
          </w:p>
        </w:tc>
        <w:tc>
          <w:tcPr>
            <w:tcW w:w="1843" w:type="dxa"/>
            <w:shd w:val="clear" w:color="auto" w:fill="auto"/>
            <w:noWrap/>
            <w:vAlign w:val="bottom"/>
          </w:tcPr>
          <w:p w14:paraId="751D32F8" w14:textId="05C82E71" w:rsidR="002A6D23" w:rsidRPr="006B4263" w:rsidRDefault="00B4230E" w:rsidP="00A74E01">
            <w:pPr>
              <w:spacing w:after="0" w:line="240" w:lineRule="auto"/>
              <w:jc w:val="center"/>
              <w:rPr>
                <w:rFonts w:eastAsia="Times New Roman" w:cstheme="minorHAnsi"/>
                <w:color w:val="000000"/>
                <w:lang w:eastAsia="sl-SI"/>
              </w:rPr>
            </w:pPr>
            <w:r>
              <w:rPr>
                <w:rFonts w:eastAsia="Times New Roman" w:cstheme="minorHAnsi"/>
                <w:color w:val="000000"/>
                <w:lang w:eastAsia="sl-SI"/>
              </w:rPr>
              <w:t>4</w:t>
            </w:r>
          </w:p>
        </w:tc>
        <w:tc>
          <w:tcPr>
            <w:tcW w:w="1984" w:type="dxa"/>
            <w:shd w:val="clear" w:color="auto" w:fill="auto"/>
            <w:noWrap/>
            <w:vAlign w:val="bottom"/>
          </w:tcPr>
          <w:p w14:paraId="7C393845" w14:textId="667AD2AF" w:rsidR="002A6D23" w:rsidRPr="006B4263" w:rsidRDefault="00B4230E" w:rsidP="00A74E01">
            <w:pPr>
              <w:spacing w:after="0" w:line="240" w:lineRule="auto"/>
              <w:jc w:val="center"/>
              <w:rPr>
                <w:rFonts w:eastAsia="Times New Roman" w:cstheme="minorHAnsi"/>
                <w:color w:val="000000"/>
                <w:lang w:eastAsia="sl-SI"/>
              </w:rPr>
            </w:pPr>
            <w:r w:rsidRPr="006B4263">
              <w:t>5 + 2</w:t>
            </w:r>
          </w:p>
        </w:tc>
      </w:tr>
      <w:tr w:rsidR="002A6D23" w:rsidRPr="00071AAB" w14:paraId="14629B0D" w14:textId="77777777" w:rsidTr="00B77758">
        <w:trPr>
          <w:trHeight w:val="345"/>
        </w:trPr>
        <w:tc>
          <w:tcPr>
            <w:tcW w:w="4815" w:type="dxa"/>
            <w:shd w:val="clear" w:color="auto" w:fill="auto"/>
            <w:noWrap/>
            <w:vAlign w:val="bottom"/>
          </w:tcPr>
          <w:p w14:paraId="0FB9941C" w14:textId="0A2FEA9E" w:rsidR="002A6D23" w:rsidRDefault="00B4230E" w:rsidP="00B4230E">
            <w:pPr>
              <w:spacing w:after="0" w:line="240" w:lineRule="auto"/>
              <w:rPr>
                <w:rFonts w:eastAsia="Times New Roman" w:cstheme="minorHAnsi"/>
                <w:color w:val="000000"/>
                <w:lang w:eastAsia="sl-SI"/>
              </w:rPr>
            </w:pPr>
            <w:r>
              <w:rPr>
                <w:rFonts w:eastAsia="Times New Roman" w:cstheme="minorHAnsi"/>
                <w:color w:val="000000"/>
                <w:lang w:eastAsia="sl-SI"/>
              </w:rPr>
              <w:t>Združeni Arabski Emirati</w:t>
            </w:r>
            <w:r w:rsidR="002A6D23" w:rsidRPr="006B4263">
              <w:rPr>
                <w:rFonts w:eastAsia="Times New Roman" w:cstheme="minorHAnsi"/>
                <w:color w:val="000000"/>
                <w:lang w:eastAsia="sl-SI"/>
              </w:rPr>
              <w:t xml:space="preserve"> – poučevanje in usposabljanje</w:t>
            </w:r>
          </w:p>
        </w:tc>
        <w:tc>
          <w:tcPr>
            <w:tcW w:w="1843" w:type="dxa"/>
            <w:shd w:val="clear" w:color="auto" w:fill="auto"/>
            <w:noWrap/>
            <w:vAlign w:val="bottom"/>
          </w:tcPr>
          <w:p w14:paraId="5D739E1B" w14:textId="3D4BA463" w:rsidR="002A6D23" w:rsidRPr="006B4263" w:rsidRDefault="00B4230E" w:rsidP="002A6D23">
            <w:pPr>
              <w:spacing w:after="0" w:line="240" w:lineRule="auto"/>
              <w:jc w:val="center"/>
              <w:rPr>
                <w:rFonts w:eastAsia="Times New Roman" w:cstheme="minorHAnsi"/>
                <w:color w:val="000000"/>
                <w:lang w:eastAsia="sl-SI"/>
              </w:rPr>
            </w:pPr>
            <w:r>
              <w:rPr>
                <w:rFonts w:eastAsia="Times New Roman" w:cstheme="minorHAnsi"/>
                <w:color w:val="000000"/>
                <w:lang w:eastAsia="sl-SI"/>
              </w:rPr>
              <w:t>1</w:t>
            </w:r>
          </w:p>
        </w:tc>
        <w:tc>
          <w:tcPr>
            <w:tcW w:w="1984" w:type="dxa"/>
            <w:shd w:val="clear" w:color="auto" w:fill="auto"/>
            <w:noWrap/>
          </w:tcPr>
          <w:p w14:paraId="37856AE5" w14:textId="4ACBC6D9" w:rsidR="002A6D23" w:rsidRPr="006B4263" w:rsidRDefault="002A6D23" w:rsidP="002A6D23">
            <w:pPr>
              <w:spacing w:after="0" w:line="240" w:lineRule="auto"/>
              <w:jc w:val="center"/>
              <w:rPr>
                <w:rFonts w:eastAsia="Times New Roman" w:cstheme="minorHAnsi"/>
                <w:color w:val="000000"/>
                <w:lang w:eastAsia="sl-SI"/>
              </w:rPr>
            </w:pPr>
            <w:r w:rsidRPr="006B4263">
              <w:t>5 + 2</w:t>
            </w:r>
          </w:p>
        </w:tc>
      </w:tr>
    </w:tbl>
    <w:p w14:paraId="35442CC9" w14:textId="1C21D9AF" w:rsidR="006B4263" w:rsidRDefault="006B4263">
      <w:pPr>
        <w:rPr>
          <w:rFonts w:cstheme="minorHAnsi"/>
          <w:b/>
        </w:rPr>
      </w:pPr>
    </w:p>
    <w:p w14:paraId="0392AB39" w14:textId="12DCA137" w:rsidR="006B4263" w:rsidRPr="006B4263" w:rsidRDefault="006B4263" w:rsidP="006B4263">
      <w:pPr>
        <w:pStyle w:val="Odstavekseznama"/>
        <w:numPr>
          <w:ilvl w:val="1"/>
          <w:numId w:val="9"/>
        </w:numPr>
        <w:spacing w:after="0" w:line="240" w:lineRule="auto"/>
        <w:jc w:val="both"/>
        <w:rPr>
          <w:rFonts w:cstheme="minorHAnsi"/>
          <w:b/>
        </w:rPr>
      </w:pPr>
      <w:r w:rsidRPr="006B4263">
        <w:rPr>
          <w:rFonts w:cstheme="minorHAnsi"/>
          <w:b/>
        </w:rPr>
        <w:t xml:space="preserve">Partnerske institucije </w:t>
      </w:r>
    </w:p>
    <w:p w14:paraId="53CDA26A" w14:textId="77777777" w:rsidR="006B4263" w:rsidRPr="006B4263" w:rsidRDefault="006B4263" w:rsidP="006B4263">
      <w:pPr>
        <w:spacing w:after="0" w:line="240" w:lineRule="auto"/>
        <w:ind w:left="360"/>
        <w:jc w:val="both"/>
        <w:rPr>
          <w:rFonts w:cstheme="minorHAnsi"/>
        </w:rPr>
      </w:pPr>
    </w:p>
    <w:p w14:paraId="2CBF4AAD" w14:textId="4CC26835" w:rsidR="006B4263" w:rsidRDefault="006B4263" w:rsidP="006B4263">
      <w:pPr>
        <w:spacing w:after="0" w:line="240" w:lineRule="auto"/>
        <w:jc w:val="both"/>
        <w:rPr>
          <w:rFonts w:cstheme="minorHAnsi"/>
        </w:rPr>
      </w:pPr>
      <w:r w:rsidRPr="00071AAB">
        <w:rPr>
          <w:rFonts w:cstheme="minorHAnsi"/>
        </w:rPr>
        <w:t xml:space="preserve">Partnerske visokošolske institucije so institucije iz partnerskih držav, s katerimi ima </w:t>
      </w:r>
      <w:r w:rsidR="00B4230E">
        <w:rPr>
          <w:rFonts w:cstheme="minorHAnsi"/>
        </w:rPr>
        <w:t xml:space="preserve">B2 </w:t>
      </w:r>
      <w:r w:rsidRPr="00071AAB">
        <w:rPr>
          <w:rFonts w:cstheme="minorHAnsi"/>
        </w:rPr>
        <w:t>VŠPV podpisan ERASMUS+ medinstitucionalni sporazum za mobilnost pedagoškega</w:t>
      </w:r>
      <w:r>
        <w:rPr>
          <w:rFonts w:cstheme="minorHAnsi"/>
        </w:rPr>
        <w:t xml:space="preserve"> in nepedagoškega</w:t>
      </w:r>
      <w:r w:rsidRPr="00071AAB">
        <w:rPr>
          <w:rFonts w:cstheme="minorHAnsi"/>
        </w:rPr>
        <w:t xml:space="preserve"> osebja za namen poučevanja</w:t>
      </w:r>
      <w:r w:rsidRPr="00BA2A10">
        <w:rPr>
          <w:rFonts w:cstheme="minorHAnsi"/>
        </w:rPr>
        <w:t xml:space="preserve"> </w:t>
      </w:r>
      <w:r>
        <w:rPr>
          <w:rFonts w:cstheme="minorHAnsi"/>
        </w:rPr>
        <w:t xml:space="preserve">ali usposabljanja </w:t>
      </w:r>
      <w:r w:rsidRPr="00BA2A10">
        <w:rPr>
          <w:rFonts w:cstheme="minorHAnsi"/>
        </w:rPr>
        <w:t>za ustrezno študijsko leto in študijsko področje (</w:t>
      </w:r>
      <w:proofErr w:type="spellStart"/>
      <w:r w:rsidRPr="00BA2A10">
        <w:rPr>
          <w:rFonts w:cstheme="minorHAnsi"/>
        </w:rPr>
        <w:t>academic</w:t>
      </w:r>
      <w:proofErr w:type="spellEnd"/>
      <w:r w:rsidRPr="00BA2A10">
        <w:rPr>
          <w:rFonts w:cstheme="minorHAnsi"/>
        </w:rPr>
        <w:t xml:space="preserve"> </w:t>
      </w:r>
      <w:proofErr w:type="spellStart"/>
      <w:r w:rsidRPr="00BA2A10">
        <w:rPr>
          <w:rFonts w:cstheme="minorHAnsi"/>
        </w:rPr>
        <w:t>field</w:t>
      </w:r>
      <w:proofErr w:type="spellEnd"/>
      <w:r w:rsidRPr="00BA2A10">
        <w:rPr>
          <w:rFonts w:cstheme="minorHAnsi"/>
        </w:rPr>
        <w:t>)</w:t>
      </w:r>
      <w:r>
        <w:rPr>
          <w:rFonts w:cstheme="minorHAnsi"/>
        </w:rPr>
        <w:t>.</w:t>
      </w:r>
      <w:r w:rsidRPr="00071AAB">
        <w:rPr>
          <w:rFonts w:cstheme="minorHAnsi"/>
        </w:rPr>
        <w:t xml:space="preserve"> </w:t>
      </w:r>
    </w:p>
    <w:p w14:paraId="41A0A5B1" w14:textId="77777777" w:rsidR="006B4263" w:rsidRDefault="006B4263" w:rsidP="006B4263">
      <w:pPr>
        <w:spacing w:after="0" w:line="240" w:lineRule="auto"/>
        <w:jc w:val="both"/>
        <w:rPr>
          <w:rFonts w:cstheme="minorHAnsi"/>
        </w:rPr>
      </w:pPr>
    </w:p>
    <w:p w14:paraId="4B013EC8" w14:textId="7F4D58CD" w:rsidR="006B4263" w:rsidRDefault="006B4263" w:rsidP="006B4263">
      <w:pPr>
        <w:spacing w:after="0" w:line="240" w:lineRule="auto"/>
        <w:jc w:val="both"/>
        <w:rPr>
          <w:rFonts w:cstheme="minorHAnsi"/>
        </w:rPr>
      </w:pPr>
      <w:r w:rsidRPr="00071AAB">
        <w:rPr>
          <w:rFonts w:cstheme="minorHAnsi"/>
        </w:rPr>
        <w:t xml:space="preserve">Seznam partnerskih institucij je dostopen </w:t>
      </w:r>
      <w:r>
        <w:rPr>
          <w:rFonts w:cstheme="minorHAnsi"/>
        </w:rPr>
        <w:t xml:space="preserve">na spletni strani </w:t>
      </w:r>
      <w:r w:rsidR="00B4230E">
        <w:rPr>
          <w:rFonts w:cstheme="minorHAnsi"/>
        </w:rPr>
        <w:t xml:space="preserve">B2 </w:t>
      </w:r>
      <w:r w:rsidRPr="00071AAB">
        <w:rPr>
          <w:rFonts w:cstheme="minorHAnsi"/>
        </w:rPr>
        <w:t>VŠPV</w:t>
      </w:r>
      <w:r>
        <w:rPr>
          <w:rFonts w:cstheme="minorHAnsi"/>
        </w:rPr>
        <w:t xml:space="preserve">: </w:t>
      </w:r>
      <w:hyperlink r:id="rId8" w:history="1">
        <w:r w:rsidRPr="00197908">
          <w:rPr>
            <w:rStyle w:val="Hiperpovezava"/>
            <w:rFonts w:cstheme="minorHAnsi"/>
          </w:rPr>
          <w:t>https://www.vspv.si/sl/mednarodno-sodelovanje/partnerske-institucije</w:t>
        </w:r>
      </w:hyperlink>
      <w:r>
        <w:rPr>
          <w:rFonts w:cstheme="minorHAnsi"/>
        </w:rPr>
        <w:t>.</w:t>
      </w:r>
    </w:p>
    <w:p w14:paraId="4687B708" w14:textId="77777777" w:rsidR="006B4263" w:rsidRDefault="006B4263" w:rsidP="006B4263">
      <w:pPr>
        <w:spacing w:after="0" w:line="240" w:lineRule="auto"/>
        <w:jc w:val="both"/>
        <w:rPr>
          <w:rFonts w:cstheme="minorHAnsi"/>
        </w:rPr>
      </w:pPr>
    </w:p>
    <w:p w14:paraId="14FC3D93" w14:textId="77777777" w:rsidR="00FF6F30" w:rsidRPr="00071AAB" w:rsidRDefault="00FF6F30" w:rsidP="00CE14D1">
      <w:pPr>
        <w:spacing w:after="0" w:line="240" w:lineRule="auto"/>
        <w:jc w:val="both"/>
        <w:rPr>
          <w:rFonts w:cstheme="minorHAnsi"/>
        </w:rPr>
      </w:pPr>
    </w:p>
    <w:p w14:paraId="3388344D" w14:textId="61198F86" w:rsidR="00401FC9" w:rsidRDefault="00401FC9" w:rsidP="00E6161A">
      <w:pPr>
        <w:pStyle w:val="Naslov1"/>
      </w:pPr>
      <w:r w:rsidRPr="00071AAB">
        <w:t>Finančna dotacija</w:t>
      </w:r>
    </w:p>
    <w:p w14:paraId="605CF35C" w14:textId="550730BC" w:rsidR="001E6BE1" w:rsidRDefault="001E6BE1" w:rsidP="00CE14D1">
      <w:pPr>
        <w:spacing w:after="0" w:line="240" w:lineRule="auto"/>
        <w:jc w:val="both"/>
      </w:pPr>
      <w:bookmarkStart w:id="5" w:name="_Hlk116476782"/>
      <w:r w:rsidRPr="00071AAB">
        <w:rPr>
          <w:rFonts w:cstheme="minorHAnsi"/>
        </w:rPr>
        <w:t xml:space="preserve">Prijavitelj prejme dotacijo za potne stroške in individualno podporo. </w:t>
      </w:r>
      <w:bookmarkEnd w:id="5"/>
      <w:r w:rsidR="003D4D62" w:rsidRPr="006B3CCB">
        <w:t>Erasmus+ finančna dotacija je namenjena kritju potnih stroškov in stroškov bivanja v tujini. Najvišji znesek dotacije predstavlja vsoto dotacij za bivanje in dotacije za pot.</w:t>
      </w:r>
    </w:p>
    <w:p w14:paraId="258DC45B" w14:textId="77777777" w:rsidR="001242BF" w:rsidRDefault="001242BF" w:rsidP="00CE14D1">
      <w:pPr>
        <w:spacing w:after="0" w:line="240" w:lineRule="auto"/>
        <w:jc w:val="both"/>
      </w:pPr>
    </w:p>
    <w:p w14:paraId="585B5CC2" w14:textId="2344E6A3" w:rsidR="001242BF" w:rsidRDefault="001242BF" w:rsidP="001242BF">
      <w:r w:rsidRPr="009A6498">
        <w:t>Dotacija se ne sme dodeliti retrospektivno za aktivnosti, ki so se že končale v času oddaje vloge za dotacijo. Vsaka mobilnost je upravičena do dodelitve zgolj ene dotacije iz proračuna EU, ta ne sme biti namenjena ali uporabljena za ustvarjanje dobička prejemnika</w:t>
      </w:r>
      <w:r>
        <w:t>.</w:t>
      </w:r>
    </w:p>
    <w:p w14:paraId="72127012" w14:textId="289B71C1" w:rsidR="001242BF" w:rsidRPr="001242BF" w:rsidRDefault="001242BF" w:rsidP="00B4230E">
      <w:pPr>
        <w:pStyle w:val="Odstavekseznama"/>
        <w:numPr>
          <w:ilvl w:val="0"/>
          <w:numId w:val="17"/>
        </w:numPr>
        <w:spacing w:after="0"/>
        <w:ind w:left="714" w:hanging="357"/>
        <w:jc w:val="both"/>
        <w:rPr>
          <w:rFonts w:cstheme="minorHAnsi"/>
        </w:rPr>
      </w:pPr>
      <w:bookmarkStart w:id="6" w:name="_Hlk21087237"/>
      <w:bookmarkStart w:id="7" w:name="_Hlk116476847"/>
      <w:r w:rsidRPr="001242BF">
        <w:rPr>
          <w:rFonts w:cstheme="minorHAnsi"/>
          <w:b/>
          <w:bCs/>
        </w:rPr>
        <w:t>Individualna podpora</w:t>
      </w:r>
      <w:r w:rsidRPr="001242BF">
        <w:rPr>
          <w:rFonts w:cstheme="minorHAnsi"/>
        </w:rPr>
        <w:t xml:space="preserve"> krije stroške bivanja med mobilnostjo (nastanitev, prehrana, javni prevozi, zavarovanje …) na osnovi dejanskih stroškov, katere višina se določi na podlagi števila dni na mobilnosti, pri čemer se po potrebi upošteva en dodaten dan pred in en dodaten dan po zaključeni mobilnosti, vendar največ do dnevnih zneskov iz Tabele </w:t>
      </w:r>
      <w:r>
        <w:rPr>
          <w:rFonts w:cstheme="minorHAnsi"/>
        </w:rPr>
        <w:t>2</w:t>
      </w:r>
      <w:r w:rsidRPr="001242BF">
        <w:rPr>
          <w:rFonts w:cstheme="minorHAnsi"/>
        </w:rPr>
        <w:t>.</w:t>
      </w:r>
    </w:p>
    <w:bookmarkEnd w:id="6"/>
    <w:p w14:paraId="4862454B" w14:textId="77777777" w:rsidR="001242BF" w:rsidRPr="00071AAB" w:rsidRDefault="001242BF" w:rsidP="001242BF">
      <w:pPr>
        <w:spacing w:after="0" w:line="240" w:lineRule="auto"/>
        <w:jc w:val="both"/>
        <w:rPr>
          <w:rFonts w:cstheme="minorHAnsi"/>
        </w:rPr>
      </w:pPr>
    </w:p>
    <w:p w14:paraId="09B79F94" w14:textId="77777777" w:rsidR="00B4230E" w:rsidRDefault="00B4230E">
      <w:pPr>
        <w:rPr>
          <w:rFonts w:cstheme="minorHAnsi"/>
          <w:sz w:val="18"/>
          <w:szCs w:val="18"/>
        </w:rPr>
      </w:pPr>
      <w:bookmarkStart w:id="8" w:name="_Hlk21087743"/>
      <w:bookmarkStart w:id="9" w:name="_Hlk21087274"/>
      <w:r>
        <w:rPr>
          <w:rFonts w:cstheme="minorHAnsi"/>
          <w:sz w:val="18"/>
          <w:szCs w:val="18"/>
        </w:rPr>
        <w:br w:type="page"/>
      </w:r>
    </w:p>
    <w:p w14:paraId="7D0937AB" w14:textId="6BF61621" w:rsidR="001242BF" w:rsidRPr="00071AAB" w:rsidRDefault="001242BF" w:rsidP="001242BF">
      <w:pPr>
        <w:spacing w:after="0" w:line="240" w:lineRule="auto"/>
        <w:jc w:val="center"/>
        <w:rPr>
          <w:rFonts w:cstheme="minorHAnsi"/>
        </w:rPr>
      </w:pPr>
      <w:r w:rsidRPr="00071AAB">
        <w:rPr>
          <w:rFonts w:cstheme="minorHAnsi"/>
          <w:sz w:val="18"/>
          <w:szCs w:val="18"/>
        </w:rPr>
        <w:lastRenderedPageBreak/>
        <w:t xml:space="preserve">Tabela </w:t>
      </w:r>
      <w:r w:rsidR="00B4230E">
        <w:rPr>
          <w:rFonts w:cstheme="minorHAnsi"/>
          <w:sz w:val="18"/>
          <w:szCs w:val="18"/>
        </w:rPr>
        <w:t>4</w:t>
      </w:r>
      <w:r w:rsidRPr="00071AAB">
        <w:rPr>
          <w:rFonts w:cstheme="minorHAnsi"/>
          <w:sz w:val="18"/>
          <w:szCs w:val="18"/>
        </w:rPr>
        <w:t>: Višina individualne podpore</w:t>
      </w:r>
      <w:r w:rsidRPr="00071AAB">
        <w:rPr>
          <w:rFonts w:cstheme="minorHAnsi"/>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2"/>
        <w:gridCol w:w="2680"/>
      </w:tblGrid>
      <w:tr w:rsidR="001242BF" w:rsidRPr="00071AAB" w14:paraId="2ED51DF3" w14:textId="77777777" w:rsidTr="001242BF">
        <w:trPr>
          <w:trHeight w:val="345"/>
          <w:jc w:val="center"/>
        </w:trPr>
        <w:tc>
          <w:tcPr>
            <w:tcW w:w="5112" w:type="dxa"/>
            <w:shd w:val="clear" w:color="auto" w:fill="BFBFBF" w:themeFill="background1" w:themeFillShade="BF"/>
            <w:noWrap/>
            <w:vAlign w:val="bottom"/>
            <w:hideMark/>
          </w:tcPr>
          <w:p w14:paraId="65A98AC3" w14:textId="77777777" w:rsidR="001242BF" w:rsidRPr="006C73FC" w:rsidRDefault="001242BF" w:rsidP="00E81182">
            <w:pPr>
              <w:spacing w:after="0" w:line="240" w:lineRule="auto"/>
              <w:jc w:val="both"/>
              <w:rPr>
                <w:rFonts w:eastAsia="Times New Roman" w:cstheme="minorHAnsi"/>
                <w:color w:val="000000"/>
                <w:lang w:eastAsia="sl-SI"/>
              </w:rPr>
            </w:pPr>
            <w:bookmarkStart w:id="10" w:name="_Hlk21087725"/>
            <w:bookmarkEnd w:id="7"/>
            <w:bookmarkEnd w:id="8"/>
            <w:r w:rsidRPr="00071AAB">
              <w:rPr>
                <w:rFonts w:eastAsia="Times New Roman" w:cstheme="minorHAnsi"/>
                <w:color w:val="000000"/>
                <w:lang w:eastAsia="sl-SI"/>
              </w:rPr>
              <w:t xml:space="preserve"> Oblika mobilnosti</w:t>
            </w:r>
          </w:p>
        </w:tc>
        <w:tc>
          <w:tcPr>
            <w:tcW w:w="2680" w:type="dxa"/>
            <w:shd w:val="clear" w:color="auto" w:fill="BFBFBF" w:themeFill="background1" w:themeFillShade="BF"/>
          </w:tcPr>
          <w:p w14:paraId="343D4D8E" w14:textId="77777777" w:rsidR="001242BF" w:rsidRPr="00071AAB" w:rsidRDefault="001242BF" w:rsidP="00E81182">
            <w:pPr>
              <w:spacing w:after="0" w:line="240" w:lineRule="auto"/>
              <w:jc w:val="both"/>
              <w:rPr>
                <w:rFonts w:eastAsia="Times New Roman" w:cstheme="minorHAnsi"/>
                <w:color w:val="000000"/>
                <w:lang w:eastAsia="sl-SI"/>
              </w:rPr>
            </w:pPr>
            <w:r w:rsidRPr="00071AAB">
              <w:rPr>
                <w:rFonts w:eastAsia="Times New Roman" w:cstheme="minorHAnsi"/>
                <w:color w:val="000000"/>
                <w:lang w:eastAsia="sl-SI"/>
              </w:rPr>
              <w:t>Dotacija na dan</w:t>
            </w:r>
          </w:p>
        </w:tc>
      </w:tr>
      <w:tr w:rsidR="001242BF" w:rsidRPr="00071AAB" w14:paraId="3BD5A142" w14:textId="77777777" w:rsidTr="001242BF">
        <w:trPr>
          <w:trHeight w:val="345"/>
          <w:jc w:val="center"/>
        </w:trPr>
        <w:tc>
          <w:tcPr>
            <w:tcW w:w="5112" w:type="dxa"/>
            <w:shd w:val="clear" w:color="auto" w:fill="auto"/>
            <w:noWrap/>
            <w:vAlign w:val="bottom"/>
          </w:tcPr>
          <w:p w14:paraId="19A97E1C" w14:textId="77777777" w:rsidR="00B4230E" w:rsidRDefault="001242BF" w:rsidP="00E81182">
            <w:pPr>
              <w:spacing w:after="0" w:line="240" w:lineRule="auto"/>
              <w:jc w:val="both"/>
              <w:rPr>
                <w:rFonts w:eastAsia="Times New Roman" w:cstheme="minorHAnsi"/>
                <w:color w:val="000000"/>
                <w:lang w:eastAsia="sl-SI"/>
              </w:rPr>
            </w:pPr>
            <w:r w:rsidRPr="00071AAB">
              <w:rPr>
                <w:rFonts w:eastAsia="Times New Roman" w:cstheme="minorHAnsi"/>
                <w:color w:val="000000"/>
                <w:lang w:eastAsia="sl-SI"/>
              </w:rPr>
              <w:t>D</w:t>
            </w:r>
            <w:r>
              <w:rPr>
                <w:rFonts w:eastAsia="Times New Roman" w:cstheme="minorHAnsi"/>
                <w:color w:val="000000"/>
                <w:lang w:eastAsia="sl-SI"/>
              </w:rPr>
              <w:t>nevna d</w:t>
            </w:r>
            <w:r w:rsidRPr="00071AAB">
              <w:rPr>
                <w:rFonts w:eastAsia="Times New Roman" w:cstheme="minorHAnsi"/>
                <w:color w:val="000000"/>
                <w:lang w:eastAsia="sl-SI"/>
              </w:rPr>
              <w:t>otacija za osebje, ki odhaja iz Slovenije</w:t>
            </w:r>
            <w:r w:rsidR="00B4230E">
              <w:rPr>
                <w:rFonts w:eastAsia="Times New Roman" w:cstheme="minorHAnsi"/>
                <w:color w:val="000000"/>
                <w:lang w:eastAsia="sl-SI"/>
              </w:rPr>
              <w:t xml:space="preserve"> </w:t>
            </w:r>
          </w:p>
          <w:p w14:paraId="40EAB331" w14:textId="3EE4742B" w:rsidR="001242BF" w:rsidRPr="006C73FC" w:rsidRDefault="00B4230E" w:rsidP="00E81182">
            <w:pPr>
              <w:spacing w:after="0" w:line="240" w:lineRule="auto"/>
              <w:jc w:val="both"/>
              <w:rPr>
                <w:rFonts w:eastAsia="Times New Roman" w:cstheme="minorHAnsi"/>
                <w:color w:val="000000"/>
                <w:lang w:eastAsia="sl-SI"/>
              </w:rPr>
            </w:pPr>
            <w:r>
              <w:rPr>
                <w:rFonts w:eastAsia="Times New Roman" w:cstheme="minorHAnsi"/>
                <w:color w:val="000000"/>
                <w:lang w:eastAsia="sl-SI"/>
              </w:rPr>
              <w:t>(razpisa 2022, 2023): Albanija, BiH, ČG, Gruzija</w:t>
            </w:r>
          </w:p>
        </w:tc>
        <w:tc>
          <w:tcPr>
            <w:tcW w:w="2680" w:type="dxa"/>
          </w:tcPr>
          <w:p w14:paraId="06E93652" w14:textId="77777777" w:rsidR="001242BF" w:rsidRPr="00915DD7" w:rsidRDefault="001242BF" w:rsidP="00E81182">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180 eur</w:t>
            </w:r>
          </w:p>
        </w:tc>
      </w:tr>
      <w:tr w:rsidR="00B4230E" w:rsidRPr="00071AAB" w14:paraId="44931F53" w14:textId="77777777" w:rsidTr="001242BF">
        <w:trPr>
          <w:trHeight w:val="345"/>
          <w:jc w:val="center"/>
        </w:trPr>
        <w:tc>
          <w:tcPr>
            <w:tcW w:w="5112" w:type="dxa"/>
            <w:shd w:val="clear" w:color="auto" w:fill="auto"/>
            <w:noWrap/>
            <w:vAlign w:val="bottom"/>
          </w:tcPr>
          <w:p w14:paraId="039D21D9" w14:textId="77777777" w:rsidR="00B4230E" w:rsidRDefault="00B4230E" w:rsidP="00B4230E">
            <w:pPr>
              <w:spacing w:after="0" w:line="240" w:lineRule="auto"/>
              <w:jc w:val="both"/>
              <w:rPr>
                <w:rFonts w:eastAsia="Times New Roman" w:cstheme="minorHAnsi"/>
                <w:color w:val="000000"/>
                <w:lang w:eastAsia="sl-SI"/>
              </w:rPr>
            </w:pPr>
            <w:r w:rsidRPr="00071AAB">
              <w:rPr>
                <w:rFonts w:eastAsia="Times New Roman" w:cstheme="minorHAnsi"/>
                <w:color w:val="000000"/>
                <w:lang w:eastAsia="sl-SI"/>
              </w:rPr>
              <w:t>D</w:t>
            </w:r>
            <w:r>
              <w:rPr>
                <w:rFonts w:eastAsia="Times New Roman" w:cstheme="minorHAnsi"/>
                <w:color w:val="000000"/>
                <w:lang w:eastAsia="sl-SI"/>
              </w:rPr>
              <w:t>nevna d</w:t>
            </w:r>
            <w:r w:rsidRPr="00071AAB">
              <w:rPr>
                <w:rFonts w:eastAsia="Times New Roman" w:cstheme="minorHAnsi"/>
                <w:color w:val="000000"/>
                <w:lang w:eastAsia="sl-SI"/>
              </w:rPr>
              <w:t>otacija za osebje, ki odhaja iz Slovenije</w:t>
            </w:r>
            <w:r>
              <w:rPr>
                <w:rFonts w:eastAsia="Times New Roman" w:cstheme="minorHAnsi"/>
                <w:color w:val="000000"/>
                <w:lang w:eastAsia="sl-SI"/>
              </w:rPr>
              <w:t xml:space="preserve"> </w:t>
            </w:r>
          </w:p>
          <w:p w14:paraId="74ED6F16" w14:textId="45B6E679" w:rsidR="00B4230E" w:rsidRPr="00071AAB" w:rsidRDefault="00B4230E" w:rsidP="00B4230E">
            <w:pPr>
              <w:spacing w:after="0" w:line="240" w:lineRule="auto"/>
              <w:jc w:val="both"/>
              <w:rPr>
                <w:rFonts w:eastAsia="Times New Roman" w:cstheme="minorHAnsi"/>
                <w:color w:val="000000"/>
                <w:lang w:eastAsia="sl-SI"/>
              </w:rPr>
            </w:pPr>
            <w:r>
              <w:rPr>
                <w:rFonts w:eastAsia="Times New Roman" w:cstheme="minorHAnsi"/>
                <w:color w:val="000000"/>
                <w:lang w:eastAsia="sl-SI"/>
              </w:rPr>
              <w:t xml:space="preserve">(razpis 2024): Butan, Malezije, </w:t>
            </w:r>
            <w:r w:rsidRPr="002A6D23">
              <w:rPr>
                <w:rFonts w:eastAsia="Times New Roman" w:cstheme="minorHAnsi"/>
                <w:color w:val="000000"/>
                <w:lang w:eastAsia="sl-SI"/>
              </w:rPr>
              <w:t>Azerbajdžan</w:t>
            </w:r>
            <w:r>
              <w:rPr>
                <w:rFonts w:eastAsia="Times New Roman" w:cstheme="minorHAnsi"/>
                <w:color w:val="000000"/>
                <w:lang w:eastAsia="sl-SI"/>
              </w:rPr>
              <w:t>, Gruzija, Združeni Arabski Emirati</w:t>
            </w:r>
          </w:p>
        </w:tc>
        <w:tc>
          <w:tcPr>
            <w:tcW w:w="2680" w:type="dxa"/>
          </w:tcPr>
          <w:p w14:paraId="53CB9800" w14:textId="6A3BF6B6" w:rsidR="00B4230E" w:rsidRPr="00915DD7" w:rsidRDefault="00B4230E" w:rsidP="00E81182">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190 eur</w:t>
            </w:r>
          </w:p>
        </w:tc>
      </w:tr>
      <w:bookmarkEnd w:id="9"/>
      <w:bookmarkEnd w:id="10"/>
    </w:tbl>
    <w:p w14:paraId="49C05399" w14:textId="77777777" w:rsidR="001242BF" w:rsidRPr="001242BF" w:rsidRDefault="001242BF" w:rsidP="001242BF"/>
    <w:p w14:paraId="32E845FA" w14:textId="77777777" w:rsidR="00602936" w:rsidRPr="00071AAB" w:rsidRDefault="00602936" w:rsidP="00CE14D1">
      <w:pPr>
        <w:spacing w:after="0" w:line="240" w:lineRule="auto"/>
        <w:jc w:val="both"/>
        <w:rPr>
          <w:rFonts w:cstheme="minorHAnsi"/>
        </w:rPr>
      </w:pPr>
    </w:p>
    <w:p w14:paraId="547BB44C" w14:textId="49E7A7D6" w:rsidR="001E6BE1" w:rsidRPr="001242BF" w:rsidRDefault="001E6BE1" w:rsidP="001242BF">
      <w:pPr>
        <w:pStyle w:val="Odstavekseznama"/>
        <w:numPr>
          <w:ilvl w:val="0"/>
          <w:numId w:val="17"/>
        </w:numPr>
        <w:spacing w:after="0" w:line="240" w:lineRule="auto"/>
        <w:jc w:val="both"/>
        <w:rPr>
          <w:rFonts w:cstheme="minorHAnsi"/>
        </w:rPr>
      </w:pPr>
      <w:bookmarkStart w:id="11" w:name="_Hlk116476794"/>
      <w:r w:rsidRPr="001242BF">
        <w:rPr>
          <w:rFonts w:cstheme="minorHAnsi"/>
          <w:b/>
          <w:bCs/>
        </w:rPr>
        <w:t>Dotacija za potne stroške</w:t>
      </w:r>
      <w:r w:rsidRPr="001242BF">
        <w:rPr>
          <w:rFonts w:cstheme="minorHAnsi"/>
        </w:rPr>
        <w:t xml:space="preserve"> je odvisna od razdalje med krajem sedeža domače institucije prijavitelja in krajem izvajanja aktivnosti</w:t>
      </w:r>
      <w:r w:rsidRPr="00071AAB">
        <w:rPr>
          <w:rStyle w:val="Sprotnaopomba-sklic"/>
          <w:rFonts w:cstheme="minorHAnsi"/>
        </w:rPr>
        <w:footnoteReference w:id="2"/>
      </w:r>
      <w:r w:rsidRPr="001242BF">
        <w:rPr>
          <w:rFonts w:cstheme="minorHAnsi"/>
        </w:rPr>
        <w:t xml:space="preserve"> in se dodeli na temelju dejanskih stroškov, vendar največ do zneskov, navedenih v Tabeli </w:t>
      </w:r>
      <w:r w:rsidR="006B4263" w:rsidRPr="001242BF">
        <w:rPr>
          <w:rFonts w:cstheme="minorHAnsi"/>
        </w:rPr>
        <w:t>3</w:t>
      </w:r>
      <w:r w:rsidRPr="001242BF">
        <w:rPr>
          <w:rFonts w:cstheme="minorHAnsi"/>
        </w:rPr>
        <w:t xml:space="preserve">. </w:t>
      </w:r>
    </w:p>
    <w:bookmarkEnd w:id="11"/>
    <w:p w14:paraId="5A2380CF" w14:textId="77777777" w:rsidR="00071AAB" w:rsidRPr="00071AAB" w:rsidRDefault="00071AAB" w:rsidP="00CE14D1">
      <w:pPr>
        <w:spacing w:after="0" w:line="240" w:lineRule="auto"/>
        <w:jc w:val="both"/>
        <w:rPr>
          <w:rFonts w:cstheme="minorHAnsi"/>
        </w:rPr>
      </w:pPr>
    </w:p>
    <w:p w14:paraId="27E9A751" w14:textId="77777777" w:rsidR="00915DD7" w:rsidRPr="00915DD7" w:rsidRDefault="001E6BE1" w:rsidP="001242BF">
      <w:pPr>
        <w:spacing w:after="0" w:line="240" w:lineRule="auto"/>
        <w:jc w:val="center"/>
        <w:rPr>
          <w:rFonts w:cstheme="minorHAnsi"/>
          <w:sz w:val="18"/>
          <w:szCs w:val="18"/>
        </w:rPr>
      </w:pPr>
      <w:bookmarkStart w:id="12" w:name="_Hlk21087135"/>
      <w:r w:rsidRPr="001A319B">
        <w:rPr>
          <w:rFonts w:cstheme="minorHAnsi"/>
          <w:sz w:val="18"/>
          <w:szCs w:val="18"/>
        </w:rPr>
        <w:t xml:space="preserve">Tabela </w:t>
      </w:r>
      <w:r w:rsidR="00B4230E">
        <w:rPr>
          <w:rFonts w:cstheme="minorHAnsi"/>
          <w:sz w:val="18"/>
          <w:szCs w:val="18"/>
        </w:rPr>
        <w:t>5</w:t>
      </w:r>
      <w:r w:rsidRPr="001A319B">
        <w:rPr>
          <w:rFonts w:cstheme="minorHAnsi"/>
          <w:sz w:val="18"/>
          <w:szCs w:val="18"/>
        </w:rPr>
        <w:t xml:space="preserve">: Prispevek k potnim stroškom – dotacija za </w:t>
      </w:r>
      <w:r w:rsidRPr="00915DD7">
        <w:rPr>
          <w:rFonts w:cstheme="minorHAnsi"/>
          <w:sz w:val="18"/>
          <w:szCs w:val="18"/>
        </w:rPr>
        <w:t xml:space="preserve">mobilnost osebja med </w:t>
      </w:r>
    </w:p>
    <w:p w14:paraId="74E98E82" w14:textId="18A412AB" w:rsidR="001E6BE1" w:rsidRPr="00915DD7" w:rsidRDefault="001E6BE1" w:rsidP="001242BF">
      <w:pPr>
        <w:spacing w:after="0" w:line="240" w:lineRule="auto"/>
        <w:jc w:val="center"/>
        <w:rPr>
          <w:rFonts w:cstheme="minorHAnsi"/>
          <w:sz w:val="18"/>
          <w:szCs w:val="18"/>
        </w:rPr>
      </w:pPr>
      <w:r w:rsidRPr="00915DD7">
        <w:rPr>
          <w:rFonts w:cstheme="minorHAnsi"/>
          <w:sz w:val="18"/>
          <w:szCs w:val="18"/>
        </w:rPr>
        <w:t xml:space="preserve">programskimi </w:t>
      </w:r>
      <w:r w:rsidR="009D7365" w:rsidRPr="00915DD7">
        <w:rPr>
          <w:rFonts w:cstheme="minorHAnsi"/>
          <w:sz w:val="18"/>
          <w:szCs w:val="18"/>
        </w:rPr>
        <w:t>in</w:t>
      </w:r>
      <w:r w:rsidRPr="00915DD7">
        <w:rPr>
          <w:rFonts w:cstheme="minorHAnsi"/>
          <w:sz w:val="18"/>
          <w:szCs w:val="18"/>
        </w:rPr>
        <w:t xml:space="preserve"> partnerskimi državami</w:t>
      </w:r>
      <w:r w:rsidR="00915DD7" w:rsidRPr="00915DD7">
        <w:rPr>
          <w:rFonts w:cstheme="minorHAnsi"/>
          <w:sz w:val="18"/>
          <w:szCs w:val="18"/>
        </w:rPr>
        <w:t xml:space="preserve"> (razpis 2022, 2023)</w:t>
      </w:r>
      <w:r w:rsidRPr="00915DD7">
        <w:rPr>
          <w:rFonts w:cstheme="minorHAnsi"/>
          <w:sz w:val="18"/>
          <w:szCs w:val="18"/>
        </w:rPr>
        <w:t>.</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1"/>
        <w:gridCol w:w="1192"/>
        <w:gridCol w:w="1192"/>
      </w:tblGrid>
      <w:tr w:rsidR="001242BF" w:rsidRPr="00915DD7" w14:paraId="47D951A2" w14:textId="49B73164" w:rsidTr="001242BF">
        <w:trPr>
          <w:trHeight w:val="345"/>
          <w:jc w:val="center"/>
        </w:trPr>
        <w:tc>
          <w:tcPr>
            <w:tcW w:w="3841" w:type="dxa"/>
            <w:shd w:val="clear" w:color="auto" w:fill="BFBFBF" w:themeFill="background1" w:themeFillShade="BF"/>
            <w:noWrap/>
            <w:vAlign w:val="bottom"/>
          </w:tcPr>
          <w:p w14:paraId="63E5925D" w14:textId="4F6BF163" w:rsidR="001242BF" w:rsidRPr="00915DD7" w:rsidRDefault="001242BF" w:rsidP="00CE14D1">
            <w:pPr>
              <w:spacing w:after="0" w:line="240" w:lineRule="auto"/>
              <w:jc w:val="both"/>
              <w:rPr>
                <w:rFonts w:eastAsia="Times New Roman" w:cstheme="minorHAnsi"/>
                <w:color w:val="000000"/>
                <w:lang w:eastAsia="sl-SI"/>
              </w:rPr>
            </w:pPr>
            <w:bookmarkStart w:id="13" w:name="_Hlk21087129"/>
            <w:bookmarkEnd w:id="12"/>
            <w:r w:rsidRPr="00915DD7">
              <w:rPr>
                <w:rFonts w:eastAsia="Times New Roman" w:cstheme="minorHAnsi"/>
                <w:color w:val="000000"/>
                <w:lang w:eastAsia="sl-SI"/>
              </w:rPr>
              <w:t>Država</w:t>
            </w:r>
          </w:p>
        </w:tc>
        <w:tc>
          <w:tcPr>
            <w:tcW w:w="1192" w:type="dxa"/>
            <w:shd w:val="clear" w:color="auto" w:fill="BFBFBF" w:themeFill="background1" w:themeFillShade="BF"/>
            <w:noWrap/>
            <w:vAlign w:val="bottom"/>
          </w:tcPr>
          <w:p w14:paraId="792CD44C" w14:textId="7F74AD85"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Znesek</w:t>
            </w:r>
          </w:p>
        </w:tc>
        <w:tc>
          <w:tcPr>
            <w:tcW w:w="1192" w:type="dxa"/>
            <w:shd w:val="clear" w:color="auto" w:fill="BFBFBF" w:themeFill="background1" w:themeFillShade="BF"/>
          </w:tcPr>
          <w:p w14:paraId="13EEA87D" w14:textId="19F18737"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Zeleno potovanje</w:t>
            </w:r>
          </w:p>
        </w:tc>
      </w:tr>
      <w:tr w:rsidR="001242BF" w:rsidRPr="00915DD7" w14:paraId="050070B0" w14:textId="13EB41D7" w:rsidTr="001242BF">
        <w:trPr>
          <w:trHeight w:val="345"/>
          <w:jc w:val="center"/>
        </w:trPr>
        <w:tc>
          <w:tcPr>
            <w:tcW w:w="3841" w:type="dxa"/>
            <w:shd w:val="clear" w:color="auto" w:fill="auto"/>
            <w:noWrap/>
            <w:vAlign w:val="bottom"/>
            <w:hideMark/>
          </w:tcPr>
          <w:p w14:paraId="771D8E96" w14:textId="4331A643" w:rsidR="001242BF" w:rsidRPr="00915DD7" w:rsidRDefault="00156AF3"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Albanija</w:t>
            </w:r>
            <w:r w:rsidR="00915DD7" w:rsidRPr="00915DD7">
              <w:rPr>
                <w:rFonts w:eastAsia="Times New Roman" w:cstheme="minorHAnsi"/>
                <w:color w:val="000000"/>
                <w:lang w:eastAsia="sl-SI"/>
              </w:rPr>
              <w:t>, ČG</w:t>
            </w:r>
          </w:p>
        </w:tc>
        <w:tc>
          <w:tcPr>
            <w:tcW w:w="1192" w:type="dxa"/>
            <w:shd w:val="clear" w:color="auto" w:fill="auto"/>
            <w:noWrap/>
            <w:vAlign w:val="bottom"/>
            <w:hideMark/>
          </w:tcPr>
          <w:p w14:paraId="43F40F6C" w14:textId="7AEDB825"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275 eur</w:t>
            </w:r>
          </w:p>
        </w:tc>
        <w:tc>
          <w:tcPr>
            <w:tcW w:w="1192" w:type="dxa"/>
          </w:tcPr>
          <w:p w14:paraId="43498D01" w14:textId="2E1BB353"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320 eur</w:t>
            </w:r>
          </w:p>
        </w:tc>
      </w:tr>
      <w:tr w:rsidR="001242BF" w:rsidRPr="00915DD7" w14:paraId="261FE319" w14:textId="6AB6CA79" w:rsidTr="001242BF">
        <w:trPr>
          <w:trHeight w:val="345"/>
          <w:jc w:val="center"/>
        </w:trPr>
        <w:tc>
          <w:tcPr>
            <w:tcW w:w="3841" w:type="dxa"/>
            <w:shd w:val="clear" w:color="auto" w:fill="auto"/>
            <w:noWrap/>
            <w:vAlign w:val="bottom"/>
          </w:tcPr>
          <w:p w14:paraId="2D62CEF7" w14:textId="2CE978E4"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 xml:space="preserve">Gruzija </w:t>
            </w:r>
          </w:p>
        </w:tc>
        <w:tc>
          <w:tcPr>
            <w:tcW w:w="1192" w:type="dxa"/>
            <w:shd w:val="clear" w:color="auto" w:fill="auto"/>
            <w:noWrap/>
            <w:vAlign w:val="bottom"/>
          </w:tcPr>
          <w:p w14:paraId="42AA9B98" w14:textId="4C29E7B3"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360 eur</w:t>
            </w:r>
          </w:p>
        </w:tc>
        <w:tc>
          <w:tcPr>
            <w:tcW w:w="1192" w:type="dxa"/>
          </w:tcPr>
          <w:p w14:paraId="0182661E" w14:textId="7606A57E" w:rsidR="001242BF" w:rsidRPr="00915DD7" w:rsidRDefault="001242BF"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410 eur</w:t>
            </w:r>
          </w:p>
        </w:tc>
      </w:tr>
      <w:tr w:rsidR="00915DD7" w:rsidRPr="00915DD7" w14:paraId="4C4D4FF9" w14:textId="77777777" w:rsidTr="001242BF">
        <w:trPr>
          <w:trHeight w:val="345"/>
          <w:jc w:val="center"/>
        </w:trPr>
        <w:tc>
          <w:tcPr>
            <w:tcW w:w="3841" w:type="dxa"/>
            <w:shd w:val="clear" w:color="auto" w:fill="auto"/>
            <w:noWrap/>
            <w:vAlign w:val="bottom"/>
          </w:tcPr>
          <w:p w14:paraId="2982A81F" w14:textId="7B54F2D4" w:rsidR="00915DD7" w:rsidRPr="00915DD7" w:rsidRDefault="00915DD7"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BiH</w:t>
            </w:r>
          </w:p>
        </w:tc>
        <w:tc>
          <w:tcPr>
            <w:tcW w:w="1192" w:type="dxa"/>
            <w:shd w:val="clear" w:color="auto" w:fill="auto"/>
            <w:noWrap/>
            <w:vAlign w:val="bottom"/>
          </w:tcPr>
          <w:p w14:paraId="14788335" w14:textId="03E7B915" w:rsidR="00915DD7" w:rsidRPr="00915DD7" w:rsidRDefault="00915DD7"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180 eur</w:t>
            </w:r>
          </w:p>
        </w:tc>
        <w:tc>
          <w:tcPr>
            <w:tcW w:w="1192" w:type="dxa"/>
          </w:tcPr>
          <w:p w14:paraId="6E4E48D7" w14:textId="6BB41632" w:rsidR="00915DD7" w:rsidRPr="00915DD7" w:rsidRDefault="00915DD7" w:rsidP="00CE14D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w:t>
            </w:r>
          </w:p>
        </w:tc>
      </w:tr>
      <w:bookmarkEnd w:id="13"/>
    </w:tbl>
    <w:p w14:paraId="75661902" w14:textId="669DFE99" w:rsidR="001E6BE1" w:rsidRPr="00915DD7" w:rsidRDefault="001E6BE1" w:rsidP="00CE14D1">
      <w:pPr>
        <w:spacing w:after="0" w:line="240" w:lineRule="auto"/>
        <w:jc w:val="both"/>
        <w:rPr>
          <w:rFonts w:cstheme="minorHAnsi"/>
          <w:b/>
        </w:rPr>
      </w:pPr>
    </w:p>
    <w:p w14:paraId="412E971B" w14:textId="668D25C2" w:rsidR="00915DD7" w:rsidRPr="00915DD7" w:rsidRDefault="00915DD7" w:rsidP="00915DD7">
      <w:pPr>
        <w:spacing w:after="0" w:line="240" w:lineRule="auto"/>
        <w:jc w:val="center"/>
        <w:rPr>
          <w:rFonts w:cstheme="minorHAnsi"/>
          <w:sz w:val="18"/>
          <w:szCs w:val="18"/>
        </w:rPr>
      </w:pPr>
      <w:bookmarkStart w:id="14" w:name="_Hlk21087151"/>
      <w:r w:rsidRPr="00915DD7">
        <w:rPr>
          <w:rFonts w:cstheme="minorHAnsi"/>
          <w:sz w:val="18"/>
          <w:szCs w:val="18"/>
        </w:rPr>
        <w:t xml:space="preserve">Tabela 6: Prispevek k potnim stroškom – dotacija za mobilnost osebja med </w:t>
      </w:r>
    </w:p>
    <w:p w14:paraId="3367ABBE" w14:textId="57D914BC" w:rsidR="00915DD7" w:rsidRPr="00915DD7" w:rsidRDefault="00915DD7" w:rsidP="00915DD7">
      <w:pPr>
        <w:spacing w:after="0" w:line="240" w:lineRule="auto"/>
        <w:jc w:val="center"/>
        <w:rPr>
          <w:rFonts w:cstheme="minorHAnsi"/>
          <w:sz w:val="18"/>
          <w:szCs w:val="18"/>
        </w:rPr>
      </w:pPr>
      <w:r w:rsidRPr="00915DD7">
        <w:rPr>
          <w:rFonts w:cstheme="minorHAnsi"/>
          <w:sz w:val="18"/>
          <w:szCs w:val="18"/>
        </w:rPr>
        <w:t>programskimi in partnerskimi državami (razpis 2024).</w:t>
      </w:r>
    </w:p>
    <w:tbl>
      <w:tblPr>
        <w:tblW w:w="6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1"/>
        <w:gridCol w:w="1192"/>
        <w:gridCol w:w="1192"/>
      </w:tblGrid>
      <w:tr w:rsidR="00915DD7" w:rsidRPr="00915DD7" w14:paraId="1500A846" w14:textId="77777777" w:rsidTr="00A74E01">
        <w:trPr>
          <w:trHeight w:val="345"/>
          <w:jc w:val="center"/>
        </w:trPr>
        <w:tc>
          <w:tcPr>
            <w:tcW w:w="3841" w:type="dxa"/>
            <w:shd w:val="clear" w:color="auto" w:fill="BFBFBF" w:themeFill="background1" w:themeFillShade="BF"/>
            <w:noWrap/>
            <w:vAlign w:val="bottom"/>
          </w:tcPr>
          <w:p w14:paraId="2B34760F" w14:textId="77777777"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Država</w:t>
            </w:r>
          </w:p>
        </w:tc>
        <w:tc>
          <w:tcPr>
            <w:tcW w:w="1192" w:type="dxa"/>
            <w:shd w:val="clear" w:color="auto" w:fill="BFBFBF" w:themeFill="background1" w:themeFillShade="BF"/>
            <w:noWrap/>
            <w:vAlign w:val="bottom"/>
          </w:tcPr>
          <w:p w14:paraId="16A1F5B8" w14:textId="77777777"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Znesek</w:t>
            </w:r>
          </w:p>
        </w:tc>
        <w:tc>
          <w:tcPr>
            <w:tcW w:w="1192" w:type="dxa"/>
            <w:shd w:val="clear" w:color="auto" w:fill="BFBFBF" w:themeFill="background1" w:themeFillShade="BF"/>
          </w:tcPr>
          <w:p w14:paraId="5E5C4645" w14:textId="77777777"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Zeleno potovanje</w:t>
            </w:r>
          </w:p>
        </w:tc>
      </w:tr>
      <w:tr w:rsidR="00D874D2" w:rsidRPr="00915DD7" w14:paraId="4675A6B3" w14:textId="77777777" w:rsidTr="00915DD7">
        <w:trPr>
          <w:trHeight w:val="345"/>
          <w:jc w:val="center"/>
        </w:trPr>
        <w:tc>
          <w:tcPr>
            <w:tcW w:w="3841" w:type="dxa"/>
            <w:shd w:val="clear" w:color="auto" w:fill="auto"/>
            <w:noWrap/>
            <w:vAlign w:val="bottom"/>
          </w:tcPr>
          <w:p w14:paraId="156D188C" w14:textId="534977AC" w:rsidR="00D874D2" w:rsidRPr="00915DD7" w:rsidRDefault="00D874D2" w:rsidP="00A74E01">
            <w:pPr>
              <w:spacing w:after="0" w:line="240" w:lineRule="auto"/>
              <w:jc w:val="both"/>
              <w:rPr>
                <w:rFonts w:eastAsia="Times New Roman" w:cstheme="minorHAnsi"/>
                <w:color w:val="000000"/>
                <w:lang w:eastAsia="sl-SI"/>
              </w:rPr>
            </w:pPr>
            <w:r>
              <w:rPr>
                <w:rFonts w:eastAsia="Times New Roman" w:cstheme="minorHAnsi"/>
                <w:color w:val="000000"/>
                <w:lang w:eastAsia="sl-SI"/>
              </w:rPr>
              <w:t>Kolumbija</w:t>
            </w:r>
            <w:r w:rsidRPr="00915DD7">
              <w:rPr>
                <w:rFonts w:eastAsia="Times New Roman" w:cstheme="minorHAnsi"/>
                <w:color w:val="000000"/>
                <w:lang w:eastAsia="sl-SI"/>
              </w:rPr>
              <w:t>, Malezija</w:t>
            </w:r>
            <w:r>
              <w:rPr>
                <w:rFonts w:eastAsia="Times New Roman" w:cstheme="minorHAnsi"/>
                <w:color w:val="000000"/>
                <w:lang w:eastAsia="sl-SI"/>
              </w:rPr>
              <w:t xml:space="preserve"> </w:t>
            </w:r>
          </w:p>
        </w:tc>
        <w:tc>
          <w:tcPr>
            <w:tcW w:w="1192" w:type="dxa"/>
            <w:shd w:val="clear" w:color="auto" w:fill="auto"/>
            <w:noWrap/>
            <w:vAlign w:val="bottom"/>
          </w:tcPr>
          <w:p w14:paraId="15536E5B" w14:textId="74C0561D" w:rsidR="00D874D2" w:rsidRPr="00915DD7" w:rsidRDefault="00D874D2" w:rsidP="00A74E01">
            <w:pPr>
              <w:spacing w:after="0" w:line="240" w:lineRule="auto"/>
              <w:jc w:val="both"/>
              <w:rPr>
                <w:rFonts w:eastAsia="Times New Roman" w:cstheme="minorHAnsi"/>
                <w:color w:val="000000"/>
                <w:lang w:eastAsia="sl-SI"/>
              </w:rPr>
            </w:pPr>
            <w:r>
              <w:rPr>
                <w:rFonts w:eastAsia="Times New Roman" w:cstheme="minorHAnsi"/>
                <w:color w:val="000000"/>
                <w:lang w:eastAsia="sl-SI"/>
              </w:rPr>
              <w:t>1.735</w:t>
            </w:r>
          </w:p>
        </w:tc>
        <w:tc>
          <w:tcPr>
            <w:tcW w:w="1192" w:type="dxa"/>
          </w:tcPr>
          <w:p w14:paraId="3CBD5514" w14:textId="77777777" w:rsidR="00D874D2" w:rsidRPr="00915DD7" w:rsidRDefault="00D874D2" w:rsidP="00A74E01">
            <w:pPr>
              <w:spacing w:after="0" w:line="240" w:lineRule="auto"/>
              <w:jc w:val="both"/>
              <w:rPr>
                <w:rFonts w:eastAsia="Times New Roman" w:cstheme="minorHAnsi"/>
                <w:color w:val="000000"/>
                <w:lang w:eastAsia="sl-SI"/>
              </w:rPr>
            </w:pPr>
          </w:p>
        </w:tc>
      </w:tr>
      <w:tr w:rsidR="00915DD7" w:rsidRPr="00915DD7" w14:paraId="534E8B3A" w14:textId="77777777" w:rsidTr="00915DD7">
        <w:trPr>
          <w:trHeight w:val="345"/>
          <w:jc w:val="center"/>
        </w:trPr>
        <w:tc>
          <w:tcPr>
            <w:tcW w:w="3841" w:type="dxa"/>
            <w:shd w:val="clear" w:color="auto" w:fill="auto"/>
            <w:noWrap/>
            <w:vAlign w:val="bottom"/>
            <w:hideMark/>
          </w:tcPr>
          <w:p w14:paraId="55444BC9" w14:textId="594F53AA"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Butan, ZAE</w:t>
            </w:r>
          </w:p>
        </w:tc>
        <w:tc>
          <w:tcPr>
            <w:tcW w:w="1192" w:type="dxa"/>
            <w:shd w:val="clear" w:color="auto" w:fill="auto"/>
            <w:noWrap/>
            <w:vAlign w:val="bottom"/>
          </w:tcPr>
          <w:p w14:paraId="381C4D5D" w14:textId="7D0778D7"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1.188</w:t>
            </w:r>
          </w:p>
        </w:tc>
        <w:tc>
          <w:tcPr>
            <w:tcW w:w="1192" w:type="dxa"/>
          </w:tcPr>
          <w:p w14:paraId="30D0BF7A" w14:textId="6B82EF19" w:rsidR="00915DD7" w:rsidRPr="00915DD7" w:rsidRDefault="00915DD7" w:rsidP="00A74E01">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w:t>
            </w:r>
          </w:p>
        </w:tc>
      </w:tr>
      <w:tr w:rsidR="00915DD7" w:rsidRPr="00071AAB" w14:paraId="02BF371E" w14:textId="77777777" w:rsidTr="00A74E01">
        <w:trPr>
          <w:trHeight w:val="345"/>
          <w:jc w:val="center"/>
        </w:trPr>
        <w:tc>
          <w:tcPr>
            <w:tcW w:w="3841" w:type="dxa"/>
            <w:shd w:val="clear" w:color="auto" w:fill="auto"/>
            <w:noWrap/>
            <w:vAlign w:val="bottom"/>
          </w:tcPr>
          <w:p w14:paraId="2329C709" w14:textId="6ABB2100" w:rsidR="00915DD7" w:rsidRPr="00915DD7" w:rsidRDefault="00915DD7" w:rsidP="00915DD7">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Azerbajdžan, Gruzija</w:t>
            </w:r>
          </w:p>
        </w:tc>
        <w:tc>
          <w:tcPr>
            <w:tcW w:w="1192" w:type="dxa"/>
            <w:shd w:val="clear" w:color="auto" w:fill="auto"/>
            <w:noWrap/>
            <w:vAlign w:val="bottom"/>
          </w:tcPr>
          <w:p w14:paraId="14C56802" w14:textId="3343A3FD" w:rsidR="00915DD7" w:rsidRPr="00915DD7" w:rsidRDefault="00915DD7" w:rsidP="00915DD7">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395</w:t>
            </w:r>
          </w:p>
        </w:tc>
        <w:tc>
          <w:tcPr>
            <w:tcW w:w="1192" w:type="dxa"/>
          </w:tcPr>
          <w:p w14:paraId="7433CFFE" w14:textId="6F05860F" w:rsidR="00915DD7" w:rsidRPr="00915DD7" w:rsidRDefault="00915DD7" w:rsidP="00915DD7">
            <w:pPr>
              <w:spacing w:after="0" w:line="240" w:lineRule="auto"/>
              <w:jc w:val="both"/>
              <w:rPr>
                <w:rFonts w:eastAsia="Times New Roman" w:cstheme="minorHAnsi"/>
                <w:color w:val="000000"/>
                <w:lang w:eastAsia="sl-SI"/>
              </w:rPr>
            </w:pPr>
            <w:r w:rsidRPr="00915DD7">
              <w:rPr>
                <w:rFonts w:eastAsia="Times New Roman" w:cstheme="minorHAnsi"/>
                <w:color w:val="000000"/>
                <w:lang w:eastAsia="sl-SI"/>
              </w:rPr>
              <w:t>535</w:t>
            </w:r>
          </w:p>
        </w:tc>
      </w:tr>
    </w:tbl>
    <w:p w14:paraId="1FA5924B" w14:textId="77777777" w:rsidR="00915DD7" w:rsidRDefault="00915DD7" w:rsidP="00CE14D1">
      <w:pPr>
        <w:spacing w:after="0" w:line="240" w:lineRule="auto"/>
        <w:jc w:val="both"/>
        <w:rPr>
          <w:rFonts w:cstheme="minorHAnsi"/>
        </w:rPr>
      </w:pPr>
    </w:p>
    <w:p w14:paraId="0904462D" w14:textId="77777777" w:rsidR="00915DD7" w:rsidRDefault="00915DD7" w:rsidP="00CE14D1">
      <w:pPr>
        <w:spacing w:after="0" w:line="240" w:lineRule="auto"/>
        <w:jc w:val="both"/>
        <w:rPr>
          <w:rFonts w:cstheme="minorHAnsi"/>
        </w:rPr>
      </w:pPr>
    </w:p>
    <w:p w14:paraId="563D1A16" w14:textId="2DEA1A6B" w:rsidR="00044427" w:rsidRPr="00044427" w:rsidRDefault="00044427" w:rsidP="00CE14D1">
      <w:pPr>
        <w:spacing w:after="0" w:line="240" w:lineRule="auto"/>
        <w:jc w:val="both"/>
        <w:rPr>
          <w:rFonts w:cstheme="minorHAnsi"/>
        </w:rPr>
      </w:pPr>
      <w:r w:rsidRPr="00044427">
        <w:rPr>
          <w:rFonts w:cstheme="minorHAnsi"/>
        </w:rPr>
        <w:t>V primeru poti iz kraja, ki ni enak kraju organizaciji pošiljateljici, do kraja, ki ni enak kraju organizacije gostiteljice, je potrebno dejansko pot dokazati z vozovnicami ali drugimi računi, ki vsebujejo kraj odhoda in prihoda.</w:t>
      </w:r>
    </w:p>
    <w:bookmarkEnd w:id="14"/>
    <w:p w14:paraId="02B14B2F" w14:textId="77777777" w:rsidR="00044427" w:rsidRPr="00071AAB" w:rsidRDefault="00044427" w:rsidP="00CE14D1">
      <w:pPr>
        <w:spacing w:after="0" w:line="240" w:lineRule="auto"/>
        <w:jc w:val="both"/>
        <w:rPr>
          <w:rFonts w:cstheme="minorHAnsi"/>
          <w:b/>
        </w:rPr>
      </w:pPr>
    </w:p>
    <w:p w14:paraId="38685A05" w14:textId="77777777" w:rsidR="00915DD7" w:rsidRDefault="00915DD7">
      <w:bookmarkStart w:id="15" w:name="_Hlk21087873"/>
      <w:bookmarkStart w:id="16" w:name="_Hlk116476911"/>
      <w:r>
        <w:br w:type="page"/>
      </w:r>
    </w:p>
    <w:p w14:paraId="4E76CF0C" w14:textId="3DFD45B7" w:rsidR="001242BF" w:rsidRDefault="001242BF" w:rsidP="001242BF">
      <w:pPr>
        <w:spacing w:after="0" w:line="240" w:lineRule="auto"/>
      </w:pPr>
      <w:r>
        <w:lastRenderedPageBreak/>
        <w:t>Osebje</w:t>
      </w:r>
      <w:r w:rsidR="00B4230E">
        <w:t xml:space="preserve"> B2</w:t>
      </w:r>
      <w:r>
        <w:t xml:space="preserve"> VŠPV lahko pod določenimi pogoji poleg Erasmus+ osnovne finančne dotacije zaprosi še za: </w:t>
      </w:r>
    </w:p>
    <w:p w14:paraId="47882EC3" w14:textId="77777777" w:rsidR="001242BF" w:rsidRDefault="001242BF" w:rsidP="00CE14D1">
      <w:pPr>
        <w:spacing w:after="0" w:line="240" w:lineRule="auto"/>
        <w:jc w:val="both"/>
        <w:rPr>
          <w:rFonts w:cstheme="minorHAnsi"/>
        </w:rPr>
      </w:pPr>
    </w:p>
    <w:bookmarkEnd w:id="15"/>
    <w:bookmarkEnd w:id="16"/>
    <w:p w14:paraId="1FB26A94" w14:textId="7F21EE61" w:rsidR="001242BF" w:rsidRDefault="001242BF" w:rsidP="001242BF">
      <w:pPr>
        <w:numPr>
          <w:ilvl w:val="1"/>
          <w:numId w:val="18"/>
        </w:numPr>
        <w:spacing w:after="0" w:line="240" w:lineRule="auto"/>
        <w:jc w:val="both"/>
        <w:rPr>
          <w:b/>
          <w:bCs/>
          <w:i/>
          <w:iCs/>
        </w:rPr>
      </w:pPr>
      <w:r>
        <w:rPr>
          <w:b/>
          <w:bCs/>
          <w:i/>
          <w:iCs/>
        </w:rPr>
        <w:t>D</w:t>
      </w:r>
      <w:r w:rsidRPr="00947C3F">
        <w:rPr>
          <w:b/>
          <w:bCs/>
          <w:i/>
          <w:iCs/>
        </w:rPr>
        <w:t>odatek za posebne potrebe</w:t>
      </w:r>
      <w:r w:rsidR="00915DD7">
        <w:rPr>
          <w:b/>
          <w:bCs/>
          <w:i/>
          <w:iCs/>
        </w:rPr>
        <w:t xml:space="preserve"> oz. za udeležence z manj priložnostmi</w:t>
      </w:r>
    </w:p>
    <w:p w14:paraId="1AAF754D" w14:textId="77777777" w:rsidR="001242BF" w:rsidRPr="00947C3F" w:rsidRDefault="001242BF" w:rsidP="001242BF">
      <w:pPr>
        <w:spacing w:after="0" w:line="240" w:lineRule="auto"/>
        <w:ind w:left="720"/>
        <w:rPr>
          <w:b/>
          <w:bCs/>
          <w:i/>
          <w:iCs/>
        </w:rPr>
      </w:pPr>
    </w:p>
    <w:p w14:paraId="5833D407" w14:textId="77777777" w:rsidR="001242BF" w:rsidRDefault="001242BF" w:rsidP="001242BF">
      <w:pPr>
        <w:spacing w:after="0" w:line="240" w:lineRule="auto"/>
      </w:pPr>
      <w:r w:rsidRPr="009A6498">
        <w:t>Do</w:t>
      </w:r>
      <w:r w:rsidRPr="00947C3F">
        <w:t xml:space="preserve"> </w:t>
      </w:r>
      <w:r w:rsidRPr="00B4230E">
        <w:rPr>
          <w:b/>
          <w:bCs/>
        </w:rPr>
        <w:t>dotacije za osebe s posebnimi potrebami</w:t>
      </w:r>
      <w:r w:rsidRPr="009A6498">
        <w:t xml:space="preserve"> je upravičen morebitni udeleženec, katerega okoliščine, povezane s telesnim, duševnim ali zdravstvenim stanjem, so takšne, da njegova udeležba v projektu/ukrepu mobilnosti ne bi bila mogoča brez dodatne finančne podpore.</w:t>
      </w:r>
    </w:p>
    <w:p w14:paraId="116F36A4" w14:textId="77777777" w:rsidR="00915DD7" w:rsidRDefault="00915DD7" w:rsidP="001242BF">
      <w:pPr>
        <w:spacing w:after="0" w:line="240" w:lineRule="auto"/>
      </w:pPr>
    </w:p>
    <w:p w14:paraId="75D21D32" w14:textId="77777777" w:rsidR="00915DD7" w:rsidRDefault="00915DD7" w:rsidP="00915DD7">
      <w:pPr>
        <w:spacing w:after="0" w:line="240" w:lineRule="auto"/>
      </w:pPr>
      <w:r w:rsidRPr="00214A1F">
        <w:rPr>
          <w:b/>
          <w:bCs/>
        </w:rPr>
        <w:t>Udeleženci z manj priložnostmi</w:t>
      </w:r>
      <w:r>
        <w:t xml:space="preserve"> so identificirani na osnovi E+ Načrta za vključevanje in raznolikost, sprejetega na B2 VŠPV.</w:t>
      </w:r>
    </w:p>
    <w:p w14:paraId="05F3D229" w14:textId="77777777" w:rsidR="00915DD7" w:rsidRDefault="00915DD7" w:rsidP="001242BF">
      <w:pPr>
        <w:spacing w:after="0" w:line="240" w:lineRule="auto"/>
      </w:pPr>
    </w:p>
    <w:p w14:paraId="5759EE34" w14:textId="77777777" w:rsidR="001242BF" w:rsidRDefault="001242BF" w:rsidP="001242BF">
      <w:pPr>
        <w:spacing w:after="0" w:line="240" w:lineRule="auto"/>
      </w:pPr>
    </w:p>
    <w:p w14:paraId="30141CAE" w14:textId="7369062D" w:rsidR="001242BF" w:rsidRDefault="00514B36" w:rsidP="001242BF">
      <w:pPr>
        <w:numPr>
          <w:ilvl w:val="1"/>
          <w:numId w:val="18"/>
        </w:numPr>
        <w:spacing w:after="0" w:line="240" w:lineRule="auto"/>
        <w:jc w:val="both"/>
        <w:rPr>
          <w:b/>
          <w:bCs/>
          <w:i/>
          <w:iCs/>
        </w:rPr>
      </w:pPr>
      <w:r>
        <w:rPr>
          <w:b/>
          <w:bCs/>
          <w:i/>
          <w:iCs/>
        </w:rPr>
        <w:t xml:space="preserve">Višji znesek za </w:t>
      </w:r>
      <w:r w:rsidR="001242BF">
        <w:rPr>
          <w:b/>
          <w:bCs/>
          <w:i/>
          <w:iCs/>
        </w:rPr>
        <w:t>z</w:t>
      </w:r>
      <w:r w:rsidR="001242BF" w:rsidRPr="00FA7DB2">
        <w:rPr>
          <w:b/>
          <w:bCs/>
          <w:i/>
          <w:iCs/>
        </w:rPr>
        <w:t>eleno potovanje</w:t>
      </w:r>
    </w:p>
    <w:p w14:paraId="0E9D063F" w14:textId="77777777" w:rsidR="001242BF" w:rsidRDefault="001242BF" w:rsidP="001242BF">
      <w:pPr>
        <w:spacing w:after="0" w:line="240" w:lineRule="auto"/>
        <w:rPr>
          <w:b/>
          <w:bCs/>
          <w:i/>
          <w:iCs/>
        </w:rPr>
      </w:pPr>
    </w:p>
    <w:p w14:paraId="390559DB" w14:textId="5D539991" w:rsidR="001242BF" w:rsidRDefault="001242BF" w:rsidP="001242BF">
      <w:pPr>
        <w:tabs>
          <w:tab w:val="left" w:pos="1800"/>
        </w:tabs>
        <w:spacing w:after="0" w:line="240" w:lineRule="auto"/>
        <w:rPr>
          <w:rFonts w:eastAsia="Times New Roman"/>
          <w:lang w:eastAsia="sl-SI"/>
        </w:rPr>
      </w:pPr>
      <w:r>
        <w:rPr>
          <w:rFonts w:eastAsia="Times New Roman"/>
          <w:lang w:eastAsia="sl-SI"/>
        </w:rPr>
        <w:t>Kot z</w:t>
      </w:r>
      <w:r w:rsidRPr="00FA7DB2">
        <w:rPr>
          <w:rFonts w:eastAsia="Times New Roman"/>
          <w:lang w:eastAsia="sl-SI"/>
        </w:rPr>
        <w:t xml:space="preserve">eleno potovanje je opredeljeno </w:t>
      </w:r>
      <w:r>
        <w:rPr>
          <w:rFonts w:eastAsia="Times New Roman"/>
          <w:lang w:eastAsia="sl-SI"/>
        </w:rPr>
        <w:t xml:space="preserve">tisto </w:t>
      </w:r>
      <w:r w:rsidRPr="00FA7DB2">
        <w:rPr>
          <w:rFonts w:eastAsia="Times New Roman"/>
          <w:lang w:eastAsia="sl-SI"/>
        </w:rPr>
        <w:t xml:space="preserve">potovanje, pri katerem </w:t>
      </w:r>
      <w:r>
        <w:rPr>
          <w:rFonts w:eastAsia="Times New Roman"/>
          <w:lang w:eastAsia="sl-SI"/>
        </w:rPr>
        <w:t xml:space="preserve">udeleženec </w:t>
      </w:r>
      <w:r w:rsidRPr="00FA7DB2">
        <w:rPr>
          <w:rFonts w:eastAsia="Times New Roman"/>
          <w:lang w:eastAsia="sl-SI"/>
        </w:rPr>
        <w:t>večji del potovanja</w:t>
      </w:r>
      <w:r>
        <w:rPr>
          <w:rFonts w:eastAsia="Times New Roman"/>
          <w:lang w:eastAsia="sl-SI"/>
        </w:rPr>
        <w:t xml:space="preserve"> opravi s </w:t>
      </w:r>
      <w:r w:rsidRPr="00FA7DB2">
        <w:rPr>
          <w:rFonts w:eastAsia="Times New Roman"/>
          <w:lang w:eastAsia="sl-SI"/>
        </w:rPr>
        <w:t>prevozn</w:t>
      </w:r>
      <w:r>
        <w:rPr>
          <w:rFonts w:eastAsia="Times New Roman"/>
          <w:lang w:eastAsia="sl-SI"/>
        </w:rPr>
        <w:t>imi</w:t>
      </w:r>
      <w:r w:rsidRPr="00FA7DB2">
        <w:rPr>
          <w:rFonts w:eastAsia="Times New Roman"/>
          <w:lang w:eastAsia="sl-SI"/>
        </w:rPr>
        <w:t xml:space="preserve"> sredstv</w:t>
      </w:r>
      <w:r>
        <w:rPr>
          <w:rFonts w:eastAsia="Times New Roman"/>
          <w:lang w:eastAsia="sl-SI"/>
        </w:rPr>
        <w:t>i</w:t>
      </w:r>
      <w:r w:rsidRPr="00FA7DB2">
        <w:rPr>
          <w:rFonts w:eastAsia="Times New Roman"/>
          <w:lang w:eastAsia="sl-SI"/>
        </w:rPr>
        <w:t xml:space="preserve"> z manjšimi emisijami</w:t>
      </w:r>
      <w:r>
        <w:rPr>
          <w:rFonts w:eastAsia="Times New Roman"/>
          <w:lang w:eastAsia="sl-SI"/>
        </w:rPr>
        <w:t xml:space="preserve"> (npr. </w:t>
      </w:r>
      <w:r w:rsidRPr="00FA7DB2">
        <w:rPr>
          <w:rFonts w:eastAsia="Times New Roman"/>
          <w:lang w:eastAsia="sl-SI"/>
        </w:rPr>
        <w:t>avtobus, vlak</w:t>
      </w:r>
      <w:r>
        <w:rPr>
          <w:rFonts w:eastAsia="Times New Roman"/>
          <w:lang w:eastAsia="sl-SI"/>
        </w:rPr>
        <w:t xml:space="preserve">, </w:t>
      </w:r>
      <w:r w:rsidRPr="00FA7DB2">
        <w:rPr>
          <w:rFonts w:eastAsia="Times New Roman"/>
          <w:lang w:eastAsia="sl-SI"/>
        </w:rPr>
        <w:t>souporaba avtomobila</w:t>
      </w:r>
      <w:r>
        <w:rPr>
          <w:rFonts w:eastAsia="Times New Roman"/>
          <w:lang w:eastAsia="sl-SI"/>
        </w:rPr>
        <w:t>)</w:t>
      </w:r>
      <w:r w:rsidRPr="00FA7DB2">
        <w:rPr>
          <w:rFonts w:eastAsia="Times New Roman"/>
          <w:lang w:eastAsia="sl-SI"/>
        </w:rPr>
        <w:t>.</w:t>
      </w:r>
      <w:r>
        <w:rPr>
          <w:rFonts w:eastAsia="Times New Roman"/>
          <w:lang w:eastAsia="sl-SI"/>
        </w:rPr>
        <w:t xml:space="preserve"> </w:t>
      </w:r>
    </w:p>
    <w:p w14:paraId="1D54FE87" w14:textId="77777777" w:rsidR="001242BF" w:rsidRDefault="001242BF" w:rsidP="001242BF">
      <w:pPr>
        <w:tabs>
          <w:tab w:val="left" w:pos="1800"/>
        </w:tabs>
        <w:spacing w:after="0" w:line="240" w:lineRule="auto"/>
        <w:rPr>
          <w:rFonts w:eastAsia="Times New Roman"/>
          <w:lang w:eastAsia="sl-SI"/>
        </w:rPr>
      </w:pPr>
    </w:p>
    <w:p w14:paraId="60B53DF5" w14:textId="771622FF" w:rsidR="001242BF" w:rsidRDefault="001242BF" w:rsidP="001242BF">
      <w:pPr>
        <w:tabs>
          <w:tab w:val="left" w:pos="1800"/>
        </w:tabs>
        <w:spacing w:after="0" w:line="240" w:lineRule="auto"/>
        <w:rPr>
          <w:rFonts w:eastAsia="Times New Roman"/>
          <w:lang w:eastAsia="sl-SI"/>
        </w:rPr>
      </w:pPr>
      <w:r w:rsidRPr="00FA7DB2">
        <w:rPr>
          <w:rFonts w:eastAsia="Times New Roman"/>
          <w:lang w:eastAsia="sl-SI"/>
        </w:rPr>
        <w:t>Kot dokazilo o uporabi trajnostnih prevoznih sredstev se uporablja častna izjava, ki jo podpišeta oseba, ki</w:t>
      </w:r>
      <w:r>
        <w:rPr>
          <w:rFonts w:eastAsia="Times New Roman"/>
          <w:lang w:eastAsia="sl-SI"/>
        </w:rPr>
        <w:t xml:space="preserve"> </w:t>
      </w:r>
      <w:r w:rsidRPr="00FA7DB2">
        <w:rPr>
          <w:rFonts w:eastAsia="Times New Roman"/>
          <w:lang w:eastAsia="sl-SI"/>
        </w:rPr>
        <w:t xml:space="preserve">prejme nepovratna sredstva za potne stroške, in organizacija pošiljateljica. </w:t>
      </w:r>
      <w:r>
        <w:rPr>
          <w:rFonts w:eastAsia="Times New Roman"/>
          <w:lang w:eastAsia="sl-SI"/>
        </w:rPr>
        <w:t xml:space="preserve">Udeleženec mobilnosti izjavo predloži </w:t>
      </w:r>
      <w:r w:rsidR="00B4230E">
        <w:rPr>
          <w:rFonts w:eastAsia="Times New Roman"/>
          <w:lang w:eastAsia="sl-SI"/>
        </w:rPr>
        <w:t xml:space="preserve">B2 </w:t>
      </w:r>
      <w:r>
        <w:rPr>
          <w:rFonts w:eastAsia="Times New Roman"/>
          <w:lang w:eastAsia="sl-SI"/>
        </w:rPr>
        <w:t xml:space="preserve">VŠPV, ki slednjo </w:t>
      </w:r>
      <w:r w:rsidRPr="00FA7DB2">
        <w:rPr>
          <w:rFonts w:eastAsia="Times New Roman"/>
          <w:lang w:eastAsia="sl-SI"/>
        </w:rPr>
        <w:t>hrani</w:t>
      </w:r>
      <w:r>
        <w:rPr>
          <w:rFonts w:eastAsia="Times New Roman"/>
          <w:lang w:eastAsia="sl-SI"/>
        </w:rPr>
        <w:t xml:space="preserve"> kot</w:t>
      </w:r>
      <w:r w:rsidRPr="00FA7DB2">
        <w:rPr>
          <w:rFonts w:eastAsia="Times New Roman"/>
          <w:lang w:eastAsia="sl-SI"/>
        </w:rPr>
        <w:t xml:space="preserve"> ustrezno</w:t>
      </w:r>
      <w:r>
        <w:rPr>
          <w:rFonts w:eastAsia="Times New Roman"/>
          <w:lang w:eastAsia="sl-SI"/>
        </w:rPr>
        <w:t xml:space="preserve"> </w:t>
      </w:r>
      <w:r w:rsidRPr="00FA7DB2">
        <w:rPr>
          <w:rFonts w:eastAsia="Times New Roman"/>
          <w:lang w:eastAsia="sl-SI"/>
        </w:rPr>
        <w:t>dokumentacijo o stroških (</w:t>
      </w:r>
      <w:r>
        <w:rPr>
          <w:rFonts w:eastAsia="Times New Roman"/>
          <w:lang w:eastAsia="sl-SI"/>
        </w:rPr>
        <w:t>vozovnice</w:t>
      </w:r>
      <w:r w:rsidRPr="00FA7DB2">
        <w:rPr>
          <w:rFonts w:eastAsia="Times New Roman"/>
          <w:lang w:eastAsia="sl-SI"/>
        </w:rPr>
        <w:t>, račun</w:t>
      </w:r>
      <w:r>
        <w:rPr>
          <w:rFonts w:eastAsia="Times New Roman"/>
          <w:lang w:eastAsia="sl-SI"/>
        </w:rPr>
        <w:t xml:space="preserve">i </w:t>
      </w:r>
      <w:proofErr w:type="spellStart"/>
      <w:r>
        <w:rPr>
          <w:rFonts w:eastAsia="Times New Roman"/>
          <w:lang w:eastAsia="sl-SI"/>
        </w:rPr>
        <w:t>ipd</w:t>
      </w:r>
      <w:proofErr w:type="spellEnd"/>
      <w:r w:rsidRPr="00FA7DB2">
        <w:rPr>
          <w:rFonts w:eastAsia="Times New Roman"/>
          <w:lang w:eastAsia="sl-SI"/>
        </w:rPr>
        <w:t>).</w:t>
      </w:r>
    </w:p>
    <w:p w14:paraId="4B400DCF" w14:textId="77777777" w:rsidR="00915DD7" w:rsidRDefault="00915DD7" w:rsidP="001242BF">
      <w:pPr>
        <w:tabs>
          <w:tab w:val="left" w:pos="1800"/>
        </w:tabs>
        <w:spacing w:after="0" w:line="240" w:lineRule="auto"/>
        <w:rPr>
          <w:rFonts w:eastAsia="Times New Roman"/>
          <w:lang w:eastAsia="sl-SI"/>
        </w:rPr>
      </w:pPr>
    </w:p>
    <w:p w14:paraId="3607A228" w14:textId="77777777" w:rsidR="0001449D" w:rsidRPr="00071AAB" w:rsidRDefault="0001449D" w:rsidP="00CE14D1">
      <w:pPr>
        <w:spacing w:after="0" w:line="240" w:lineRule="auto"/>
        <w:jc w:val="both"/>
        <w:rPr>
          <w:rFonts w:cstheme="minorHAnsi"/>
        </w:rPr>
      </w:pPr>
    </w:p>
    <w:p w14:paraId="0D00C8E4" w14:textId="7C5C0CE6" w:rsidR="005A4987" w:rsidRPr="00071AAB" w:rsidRDefault="005A4987" w:rsidP="00E6161A">
      <w:pPr>
        <w:pStyle w:val="Naslov1"/>
      </w:pPr>
      <w:bookmarkStart w:id="17" w:name="_Hlk116477472"/>
      <w:r w:rsidRPr="00071AAB">
        <w:t>Oddaja prijave</w:t>
      </w:r>
    </w:p>
    <w:p w14:paraId="0AB654F4" w14:textId="6C19BD26" w:rsidR="00953707" w:rsidRPr="00071AAB" w:rsidRDefault="00953707" w:rsidP="00CE14D1">
      <w:pPr>
        <w:spacing w:after="0" w:line="240" w:lineRule="auto"/>
        <w:jc w:val="both"/>
        <w:rPr>
          <w:rFonts w:cstheme="minorHAnsi"/>
        </w:rPr>
      </w:pPr>
      <w:bookmarkStart w:id="18" w:name="_Hlk21088205"/>
      <w:r w:rsidRPr="00071AAB">
        <w:rPr>
          <w:rFonts w:cstheme="minorHAnsi"/>
        </w:rPr>
        <w:t>Pri odobritvi mobilnosti bo VŠPV upoštevala naslednje dokumente:</w:t>
      </w:r>
    </w:p>
    <w:bookmarkEnd w:id="18"/>
    <w:p w14:paraId="0B466ED0" w14:textId="2DBCA611" w:rsidR="00953707" w:rsidRDefault="00953707" w:rsidP="00CE14D1">
      <w:pPr>
        <w:pStyle w:val="Odstavekseznama"/>
        <w:numPr>
          <w:ilvl w:val="0"/>
          <w:numId w:val="10"/>
        </w:numPr>
        <w:spacing w:after="0" w:line="240" w:lineRule="auto"/>
        <w:jc w:val="both"/>
        <w:rPr>
          <w:rFonts w:cstheme="minorHAnsi"/>
        </w:rPr>
      </w:pPr>
      <w:r w:rsidRPr="00071AAB">
        <w:rPr>
          <w:rFonts w:cstheme="minorHAnsi"/>
        </w:rPr>
        <w:t xml:space="preserve">ustrezno </w:t>
      </w:r>
      <w:r w:rsidR="005A4987" w:rsidRPr="00071AAB">
        <w:rPr>
          <w:rFonts w:cstheme="minorHAnsi"/>
        </w:rPr>
        <w:t>izpoln</w:t>
      </w:r>
      <w:r w:rsidRPr="00071AAB">
        <w:rPr>
          <w:rFonts w:cstheme="minorHAnsi"/>
        </w:rPr>
        <w:t>jeno</w:t>
      </w:r>
      <w:r w:rsidR="005A4987" w:rsidRPr="00071AAB">
        <w:rPr>
          <w:rFonts w:cstheme="minorHAnsi"/>
        </w:rPr>
        <w:t xml:space="preserve"> Prijavnico za Erasmus</w:t>
      </w:r>
      <w:r w:rsidRPr="00071AAB">
        <w:rPr>
          <w:rFonts w:cstheme="minorHAnsi"/>
        </w:rPr>
        <w:t>+ mobilnost</w:t>
      </w:r>
      <w:r w:rsidR="005A4987" w:rsidRPr="00071AAB">
        <w:rPr>
          <w:rFonts w:cstheme="minorHAnsi"/>
        </w:rPr>
        <w:t>, ki je priloga tega razpisa</w:t>
      </w:r>
      <w:r w:rsidR="0004163C">
        <w:rPr>
          <w:rFonts w:cstheme="minorHAnsi"/>
        </w:rPr>
        <w:t>.</w:t>
      </w:r>
    </w:p>
    <w:p w14:paraId="214E3EB7" w14:textId="77777777" w:rsidR="007506E9" w:rsidRPr="00071AAB" w:rsidRDefault="007506E9" w:rsidP="00CE14D1">
      <w:pPr>
        <w:spacing w:after="0" w:line="240" w:lineRule="auto"/>
        <w:jc w:val="both"/>
        <w:rPr>
          <w:rFonts w:cstheme="minorHAnsi"/>
        </w:rPr>
      </w:pPr>
    </w:p>
    <w:p w14:paraId="7541AAF8" w14:textId="402DB7B5" w:rsidR="00953707" w:rsidRPr="00071AAB" w:rsidRDefault="00953707" w:rsidP="00CE14D1">
      <w:pPr>
        <w:spacing w:after="0" w:line="240" w:lineRule="auto"/>
        <w:jc w:val="both"/>
        <w:rPr>
          <w:rFonts w:cstheme="minorHAnsi"/>
        </w:rPr>
      </w:pPr>
      <w:bookmarkStart w:id="19" w:name="_Hlk21089027"/>
      <w:r w:rsidRPr="00071AAB">
        <w:rPr>
          <w:rFonts w:cstheme="minorHAnsi"/>
        </w:rPr>
        <w:t>V primeru nepopolnih prijav bodo kandidati pozvani k dopolnitvi v roku 15 dni. V primeru nedopolnjene prijave v predvidenem roku bo ta zavrnjena.</w:t>
      </w:r>
    </w:p>
    <w:bookmarkEnd w:id="19"/>
    <w:p w14:paraId="5D31BFA5" w14:textId="77777777" w:rsidR="00953707" w:rsidRPr="00071AAB" w:rsidRDefault="00953707" w:rsidP="00CE14D1">
      <w:pPr>
        <w:spacing w:after="0" w:line="240" w:lineRule="auto"/>
        <w:jc w:val="both"/>
        <w:rPr>
          <w:rFonts w:cstheme="minorHAnsi"/>
        </w:rPr>
      </w:pPr>
    </w:p>
    <w:p w14:paraId="7F493389" w14:textId="77777777" w:rsidR="00514B36" w:rsidRPr="009E547D" w:rsidRDefault="00514B36" w:rsidP="00514B36">
      <w:pPr>
        <w:spacing w:after="0" w:line="240" w:lineRule="auto"/>
        <w:rPr>
          <w:b/>
          <w:bCs/>
        </w:rPr>
      </w:pPr>
      <w:bookmarkStart w:id="20" w:name="_Hlk21089045"/>
      <w:r w:rsidRPr="009E547D">
        <w:t xml:space="preserve">Prijavnico kandidati </w:t>
      </w:r>
      <w:r w:rsidRPr="009E547D">
        <w:rPr>
          <w:b/>
          <w:bCs/>
        </w:rPr>
        <w:t>do zapolnitve mest</w:t>
      </w:r>
      <w:r w:rsidRPr="009E547D">
        <w:t xml:space="preserve"> pošljete po elektronski pošti</w:t>
      </w:r>
      <w:r>
        <w:t xml:space="preserve"> Erasmus koordinatorici:</w:t>
      </w:r>
      <w:r w:rsidRPr="009E547D">
        <w:t xml:space="preserve"> </w:t>
      </w:r>
      <w:hyperlink r:id="rId9" w:history="1">
        <w:r w:rsidRPr="00702069">
          <w:rPr>
            <w:rStyle w:val="Hiperpovezava"/>
          </w:rPr>
          <w:t>spela.pregl@vspv.si</w:t>
        </w:r>
      </w:hyperlink>
      <w:r>
        <w:t>.</w:t>
      </w:r>
      <w:r w:rsidRPr="009E547D">
        <w:t xml:space="preserve"> </w:t>
      </w:r>
    </w:p>
    <w:p w14:paraId="364B083B" w14:textId="77777777" w:rsidR="00514B36" w:rsidRPr="009E547D" w:rsidRDefault="00514B36" w:rsidP="00514B36">
      <w:pPr>
        <w:spacing w:after="0" w:line="240" w:lineRule="auto"/>
      </w:pPr>
    </w:p>
    <w:p w14:paraId="77879AC5" w14:textId="77777777" w:rsidR="00514B36" w:rsidRDefault="00514B36" w:rsidP="00514B36">
      <w:pPr>
        <w:spacing w:after="0" w:line="240" w:lineRule="auto"/>
      </w:pPr>
      <w:r w:rsidRPr="009E547D">
        <w:t>Razpis bo odprt do zapolnitve mest oz. do porabe sredstev.</w:t>
      </w:r>
      <w:bookmarkEnd w:id="20"/>
    </w:p>
    <w:p w14:paraId="1E330F4A" w14:textId="4B1C1CB8" w:rsidR="005A4987" w:rsidRDefault="005A4987" w:rsidP="00CE14D1">
      <w:pPr>
        <w:spacing w:after="0" w:line="240" w:lineRule="auto"/>
        <w:jc w:val="both"/>
        <w:rPr>
          <w:rFonts w:cstheme="minorHAnsi"/>
        </w:rPr>
      </w:pPr>
    </w:p>
    <w:p w14:paraId="1086A653" w14:textId="77777777" w:rsidR="00071AAB" w:rsidRPr="00071AAB" w:rsidRDefault="00071AAB" w:rsidP="00CE14D1">
      <w:pPr>
        <w:spacing w:after="0" w:line="240" w:lineRule="auto"/>
        <w:jc w:val="both"/>
        <w:rPr>
          <w:rFonts w:cstheme="minorHAnsi"/>
        </w:rPr>
      </w:pPr>
    </w:p>
    <w:p w14:paraId="68D69FF4" w14:textId="18A76BB6" w:rsidR="00D8792D" w:rsidRPr="00E6161A" w:rsidRDefault="0032073E" w:rsidP="00E6161A">
      <w:pPr>
        <w:pStyle w:val="Naslov1"/>
      </w:pPr>
      <w:r w:rsidRPr="00E6161A">
        <w:t>Postopek izbire</w:t>
      </w:r>
    </w:p>
    <w:p w14:paraId="772833CC" w14:textId="77777777" w:rsidR="00514B36" w:rsidRPr="009E547D" w:rsidRDefault="00514B36" w:rsidP="00514B36">
      <w:pPr>
        <w:spacing w:after="0" w:line="240" w:lineRule="auto"/>
      </w:pPr>
      <w:r w:rsidRPr="009E547D">
        <w:t>Kriterij za izbor kandidata:</w:t>
      </w:r>
    </w:p>
    <w:p w14:paraId="5C581B7C" w14:textId="6441AB5A" w:rsidR="00514B36" w:rsidRPr="009E547D" w:rsidRDefault="00514B36" w:rsidP="00514B36">
      <w:pPr>
        <w:pStyle w:val="Odstavekseznama"/>
        <w:numPr>
          <w:ilvl w:val="0"/>
          <w:numId w:val="3"/>
        </w:numPr>
        <w:spacing w:after="0" w:line="240" w:lineRule="auto"/>
        <w:jc w:val="both"/>
      </w:pPr>
      <w:r w:rsidRPr="009E547D">
        <w:t xml:space="preserve">prispevek programa mobilnosti oz. koristi za </w:t>
      </w:r>
      <w:r w:rsidR="00C04B35">
        <w:t xml:space="preserve">B2 </w:t>
      </w:r>
      <w:r w:rsidRPr="009E547D">
        <w:t>VŠPV (2 točki),</w:t>
      </w:r>
    </w:p>
    <w:p w14:paraId="3B233FFC" w14:textId="77777777" w:rsidR="00514B36" w:rsidRPr="009E547D" w:rsidRDefault="00514B36" w:rsidP="00514B36">
      <w:pPr>
        <w:pStyle w:val="Odstavekseznama"/>
        <w:numPr>
          <w:ilvl w:val="0"/>
          <w:numId w:val="3"/>
        </w:numPr>
        <w:spacing w:after="0" w:line="240" w:lineRule="auto"/>
        <w:jc w:val="both"/>
      </w:pPr>
      <w:r w:rsidRPr="009E547D">
        <w:t xml:space="preserve">datum oddaje </w:t>
      </w:r>
      <w:r>
        <w:t xml:space="preserve">prijave </w:t>
      </w:r>
      <w:r w:rsidRPr="009E547D">
        <w:t>(1 točka)</w:t>
      </w:r>
    </w:p>
    <w:p w14:paraId="525A7B84" w14:textId="176EC851" w:rsidR="00514B36" w:rsidRPr="009E547D" w:rsidRDefault="00514B36" w:rsidP="00514B36">
      <w:pPr>
        <w:pStyle w:val="Odstavekseznama"/>
        <w:numPr>
          <w:ilvl w:val="0"/>
          <w:numId w:val="3"/>
        </w:numPr>
        <w:spacing w:after="0" w:line="240" w:lineRule="auto"/>
        <w:jc w:val="both"/>
      </w:pPr>
      <w:r w:rsidRPr="009E547D">
        <w:t xml:space="preserve">pedagoška/raziskovalna aktivnost oz. dosežki kandidata na </w:t>
      </w:r>
      <w:r w:rsidR="00C04B35">
        <w:t xml:space="preserve">B2 </w:t>
      </w:r>
      <w:r w:rsidRPr="009E547D">
        <w:t>VŠPV (1 točka),</w:t>
      </w:r>
    </w:p>
    <w:p w14:paraId="7441500A" w14:textId="77777777" w:rsidR="00514B36" w:rsidRPr="009E547D" w:rsidRDefault="00514B36" w:rsidP="00514B36">
      <w:pPr>
        <w:pStyle w:val="Odstavekseznama"/>
        <w:numPr>
          <w:ilvl w:val="0"/>
          <w:numId w:val="3"/>
        </w:numPr>
        <w:spacing w:after="0" w:line="240" w:lineRule="auto"/>
        <w:jc w:val="both"/>
      </w:pPr>
      <w:r w:rsidRPr="009E547D">
        <w:t>*po potrebi intervju (1 točka).</w:t>
      </w:r>
    </w:p>
    <w:p w14:paraId="08A88EB7" w14:textId="77777777" w:rsidR="00514B36" w:rsidRPr="009E547D" w:rsidRDefault="00514B36" w:rsidP="00514B36">
      <w:pPr>
        <w:spacing w:after="0" w:line="240" w:lineRule="auto"/>
      </w:pPr>
    </w:p>
    <w:p w14:paraId="6BF69E4B" w14:textId="77777777" w:rsidR="00D2408D" w:rsidRDefault="00D2408D" w:rsidP="00D2408D">
      <w:pPr>
        <w:spacing w:after="0" w:line="240" w:lineRule="auto"/>
      </w:pPr>
      <w:bookmarkStart w:id="21" w:name="_Hlk116474041"/>
      <w:r w:rsidRPr="009E547D">
        <w:lastRenderedPageBreak/>
        <w:t>Izbirni postopek poteka pravično in transparentno.</w:t>
      </w:r>
      <w:bookmarkStart w:id="22" w:name="_Hlk21089739"/>
      <w:r>
        <w:t xml:space="preserve"> V primeru večjega interesa kot je na voljo mest za mobilnost o</w:t>
      </w:r>
      <w:r w:rsidRPr="009E547D">
        <w:t xml:space="preserve"> izbiri kandidatov odloča Erasmus komisija</w:t>
      </w:r>
      <w:r>
        <w:t xml:space="preserve"> v sestavi: E+ koordinatorica, odgovorna prodekanja in dekanja</w:t>
      </w:r>
      <w:r w:rsidRPr="009E547D">
        <w:t>. Kandidati bodo o izbiri obveščeni s sklepom.</w:t>
      </w:r>
      <w:bookmarkEnd w:id="21"/>
      <w:bookmarkEnd w:id="22"/>
    </w:p>
    <w:p w14:paraId="560DFD67" w14:textId="77777777" w:rsidR="00AA0ADC" w:rsidRPr="00071AAB" w:rsidRDefault="00AA0ADC" w:rsidP="00CE14D1">
      <w:pPr>
        <w:spacing w:after="0" w:line="240" w:lineRule="auto"/>
        <w:jc w:val="both"/>
        <w:rPr>
          <w:rFonts w:cstheme="minorHAnsi"/>
        </w:rPr>
      </w:pPr>
    </w:p>
    <w:p w14:paraId="7C98EDBC" w14:textId="77777777" w:rsidR="0004392F" w:rsidRPr="00071AAB" w:rsidRDefault="0004392F" w:rsidP="00CE14D1">
      <w:pPr>
        <w:spacing w:after="0" w:line="240" w:lineRule="auto"/>
        <w:jc w:val="both"/>
        <w:rPr>
          <w:rFonts w:cstheme="minorHAnsi"/>
        </w:rPr>
      </w:pPr>
    </w:p>
    <w:p w14:paraId="7E4C910A" w14:textId="3494F3EC" w:rsidR="00066DF4" w:rsidRDefault="00066DF4" w:rsidP="00E6161A">
      <w:pPr>
        <w:pStyle w:val="Naslov1"/>
      </w:pPr>
      <w:r w:rsidRPr="00071AAB">
        <w:t>Po izboru kandidatov</w:t>
      </w:r>
    </w:p>
    <w:p w14:paraId="5A6538F9" w14:textId="291C6FD8" w:rsidR="00066DF4" w:rsidRDefault="00066DF4" w:rsidP="0004163C">
      <w:pPr>
        <w:spacing w:after="0" w:line="240" w:lineRule="auto"/>
        <w:jc w:val="both"/>
        <w:rPr>
          <w:rFonts w:cstheme="minorHAnsi"/>
        </w:rPr>
      </w:pPr>
      <w:r w:rsidRPr="000623F5">
        <w:rPr>
          <w:rFonts w:cstheme="minorHAnsi"/>
        </w:rPr>
        <w:t xml:space="preserve">Izbrani kandidati morajo s pomočjo Erasmus koordinatorice urediti potrebno dokumentacijo za organizacijo mobilnosti. </w:t>
      </w:r>
      <w:r w:rsidR="00D2408D">
        <w:rPr>
          <w:rFonts w:cstheme="minorHAnsi"/>
        </w:rPr>
        <w:t xml:space="preserve">B2 </w:t>
      </w:r>
      <w:r w:rsidR="0004163C" w:rsidRPr="000623F5">
        <w:rPr>
          <w:rFonts w:cstheme="minorHAnsi"/>
        </w:rPr>
        <w:t xml:space="preserve">VŠPV, institucija gostiteljica in kandidat pred pričetkom mobilnosti sklenejo oz. podpišejo </w:t>
      </w:r>
      <w:r w:rsidR="0004163C" w:rsidRPr="000623F5">
        <w:rPr>
          <w:rFonts w:cstheme="minorHAnsi"/>
          <w:b/>
        </w:rPr>
        <w:t>sporazum</w:t>
      </w:r>
      <w:r w:rsidR="0004163C" w:rsidRPr="00071AAB">
        <w:rPr>
          <w:rFonts w:cstheme="minorHAnsi"/>
          <w:b/>
        </w:rPr>
        <w:t xml:space="preserve"> za mobilnost</w:t>
      </w:r>
      <w:r w:rsidR="0004163C" w:rsidRPr="00071AAB">
        <w:rPr>
          <w:rFonts w:cstheme="minorHAnsi"/>
        </w:rPr>
        <w:t xml:space="preserve"> (</w:t>
      </w:r>
      <w:proofErr w:type="spellStart"/>
      <w:r w:rsidR="0004163C" w:rsidRPr="00071AAB">
        <w:rPr>
          <w:rFonts w:cstheme="minorHAnsi"/>
        </w:rPr>
        <w:t>Mobility</w:t>
      </w:r>
      <w:proofErr w:type="spellEnd"/>
      <w:r w:rsidR="0004163C" w:rsidRPr="00071AAB">
        <w:rPr>
          <w:rFonts w:cstheme="minorHAnsi"/>
        </w:rPr>
        <w:t xml:space="preserve"> </w:t>
      </w:r>
      <w:proofErr w:type="spellStart"/>
      <w:r w:rsidR="0004163C" w:rsidRPr="00071AAB">
        <w:rPr>
          <w:rFonts w:cstheme="minorHAnsi"/>
        </w:rPr>
        <w:t>Agreement</w:t>
      </w:r>
      <w:proofErr w:type="spellEnd"/>
      <w:r w:rsidR="0004163C" w:rsidRPr="00071AAB">
        <w:rPr>
          <w:rFonts w:cstheme="minorHAnsi"/>
        </w:rPr>
        <w:t>).</w:t>
      </w:r>
      <w:r w:rsidR="0004163C">
        <w:rPr>
          <w:rFonts w:cstheme="minorHAnsi"/>
        </w:rPr>
        <w:t xml:space="preserve"> </w:t>
      </w:r>
      <w:r w:rsidR="00995316" w:rsidRPr="000623F5">
        <w:rPr>
          <w:rFonts w:cstheme="minorHAnsi"/>
        </w:rPr>
        <w:t xml:space="preserve">Institucija </w:t>
      </w:r>
      <w:r w:rsidRPr="000623F5">
        <w:rPr>
          <w:rFonts w:cstheme="minorHAnsi"/>
        </w:rPr>
        <w:t xml:space="preserve">in </w:t>
      </w:r>
      <w:r w:rsidR="003222A7" w:rsidRPr="000623F5">
        <w:rPr>
          <w:rFonts w:cstheme="minorHAnsi"/>
        </w:rPr>
        <w:t>kandidat</w:t>
      </w:r>
      <w:r w:rsidRPr="000623F5">
        <w:rPr>
          <w:rFonts w:cstheme="minorHAnsi"/>
        </w:rPr>
        <w:t xml:space="preserve"> pred pričetkom mobilnosti skleneta </w:t>
      </w:r>
      <w:r w:rsidRPr="000623F5">
        <w:rPr>
          <w:rFonts w:cstheme="minorHAnsi"/>
          <w:b/>
        </w:rPr>
        <w:t>sporazum za dodelitev dotacije</w:t>
      </w:r>
      <w:r w:rsidRPr="000623F5">
        <w:rPr>
          <w:rFonts w:cstheme="minorHAnsi"/>
        </w:rPr>
        <w:t xml:space="preserve"> (Grant </w:t>
      </w:r>
      <w:proofErr w:type="spellStart"/>
      <w:r w:rsidRPr="000623F5">
        <w:rPr>
          <w:rFonts w:cstheme="minorHAnsi"/>
        </w:rPr>
        <w:t>Agreement</w:t>
      </w:r>
      <w:proofErr w:type="spellEnd"/>
      <w:r w:rsidRPr="000623F5">
        <w:rPr>
          <w:rFonts w:cstheme="minorHAnsi"/>
        </w:rPr>
        <w:t xml:space="preserve">). </w:t>
      </w:r>
    </w:p>
    <w:p w14:paraId="781AC884" w14:textId="77777777" w:rsidR="0004163C" w:rsidRPr="00071AAB" w:rsidRDefault="0004163C" w:rsidP="0004163C">
      <w:pPr>
        <w:spacing w:after="0" w:line="240" w:lineRule="auto"/>
        <w:jc w:val="both"/>
        <w:rPr>
          <w:rFonts w:cstheme="minorHAnsi"/>
        </w:rPr>
      </w:pPr>
    </w:p>
    <w:p w14:paraId="6B9AA10E" w14:textId="5F2EDEDC" w:rsidR="00B24FA1" w:rsidRPr="00071AAB" w:rsidRDefault="00721AE5" w:rsidP="00CE14D1">
      <w:pPr>
        <w:spacing w:after="0" w:line="240" w:lineRule="auto"/>
        <w:jc w:val="both"/>
        <w:rPr>
          <w:rFonts w:cstheme="minorHAnsi"/>
        </w:rPr>
      </w:pPr>
      <w:r w:rsidRPr="00071AAB">
        <w:rPr>
          <w:rFonts w:cstheme="minorHAnsi"/>
        </w:rPr>
        <w:t>Kandidat</w:t>
      </w:r>
      <w:r w:rsidR="00DC5F77" w:rsidRPr="00071AAB">
        <w:rPr>
          <w:rFonts w:cstheme="minorHAnsi"/>
        </w:rPr>
        <w:t xml:space="preserve"> si mora pred odhodom v tujino </w:t>
      </w:r>
      <w:r w:rsidR="0004163C">
        <w:rPr>
          <w:rFonts w:cstheme="minorHAnsi"/>
        </w:rPr>
        <w:t xml:space="preserve">sam </w:t>
      </w:r>
      <w:r w:rsidR="00DC5F77" w:rsidRPr="00071AAB">
        <w:rPr>
          <w:rFonts w:cstheme="minorHAnsi"/>
        </w:rPr>
        <w:t>urediti dodatno zdravstveno zavarovanje, evropsko kartico zdravstvenega zavarovanja in nezgodno zavarovanje v tujini z asistenco</w:t>
      </w:r>
      <w:r w:rsidR="00995316" w:rsidRPr="00071AAB">
        <w:rPr>
          <w:rFonts w:cstheme="minorHAnsi"/>
        </w:rPr>
        <w:t>,</w:t>
      </w:r>
      <w:r w:rsidR="00B552F1" w:rsidRPr="00071AAB">
        <w:rPr>
          <w:rFonts w:cstheme="minorHAnsi"/>
        </w:rPr>
        <w:t xml:space="preserve"> veljavno v državi gostiteljici</w:t>
      </w:r>
      <w:r w:rsidR="00DC5F77" w:rsidRPr="00071AAB">
        <w:rPr>
          <w:rFonts w:cstheme="minorHAnsi"/>
        </w:rPr>
        <w:t>.</w:t>
      </w:r>
      <w:r w:rsidR="003222A7" w:rsidRPr="00071AAB">
        <w:rPr>
          <w:rFonts w:cstheme="minorHAnsi"/>
        </w:rPr>
        <w:t xml:space="preserve"> </w:t>
      </w:r>
    </w:p>
    <w:p w14:paraId="30F84205" w14:textId="77777777" w:rsidR="00995316" w:rsidRPr="00071AAB" w:rsidRDefault="00995316" w:rsidP="00CE14D1">
      <w:pPr>
        <w:spacing w:after="0" w:line="240" w:lineRule="auto"/>
        <w:jc w:val="both"/>
        <w:rPr>
          <w:rFonts w:cstheme="minorHAnsi"/>
        </w:rPr>
      </w:pPr>
    </w:p>
    <w:p w14:paraId="1BEABECC" w14:textId="77777777" w:rsidR="00AD54BD" w:rsidRPr="009E547D" w:rsidRDefault="00AD54BD" w:rsidP="00AD54BD">
      <w:pPr>
        <w:spacing w:after="0" w:line="240" w:lineRule="auto"/>
      </w:pPr>
      <w:bookmarkStart w:id="23" w:name="_Hlk21089946"/>
      <w:r w:rsidRPr="009E547D">
        <w:t>Po uspešno zaključeni mobilnosti v roku 14 dni kandidat:</w:t>
      </w:r>
      <w:bookmarkEnd w:id="23"/>
    </w:p>
    <w:p w14:paraId="17A650FC" w14:textId="1EC9A9A9" w:rsidR="00AD54BD" w:rsidRPr="009E547D" w:rsidRDefault="00AD54BD" w:rsidP="00AD54BD">
      <w:pPr>
        <w:pStyle w:val="Odstavekseznama"/>
        <w:numPr>
          <w:ilvl w:val="0"/>
          <w:numId w:val="10"/>
        </w:numPr>
        <w:spacing w:after="0" w:line="240" w:lineRule="auto"/>
        <w:ind w:left="426"/>
        <w:jc w:val="both"/>
      </w:pPr>
      <w:bookmarkStart w:id="24" w:name="_Hlk116474162"/>
      <w:r w:rsidRPr="009E547D">
        <w:t xml:space="preserve">izpolni spletni vprašalnik iz poročevalskega sistema </w:t>
      </w:r>
      <w:r>
        <w:t>Evropske komisije</w:t>
      </w:r>
      <w:r w:rsidRPr="009E547D">
        <w:t>, ki ga prejme na svoj e-</w:t>
      </w:r>
      <w:r>
        <w:t>mail</w:t>
      </w:r>
      <w:r w:rsidRPr="009E547D">
        <w:t xml:space="preserve">. </w:t>
      </w:r>
    </w:p>
    <w:p w14:paraId="627D81DA" w14:textId="77777777" w:rsidR="00AD54BD" w:rsidRPr="009E547D" w:rsidRDefault="00AD54BD" w:rsidP="00AD54BD">
      <w:pPr>
        <w:pStyle w:val="Odstavekseznama"/>
        <w:numPr>
          <w:ilvl w:val="0"/>
          <w:numId w:val="10"/>
        </w:numPr>
        <w:spacing w:after="0" w:line="240" w:lineRule="auto"/>
        <w:ind w:left="426"/>
        <w:jc w:val="both"/>
      </w:pPr>
      <w:bookmarkStart w:id="25" w:name="_Hlk116474224"/>
      <w:bookmarkEnd w:id="24"/>
      <w:r w:rsidRPr="009E547D">
        <w:t xml:space="preserve">odda zaključno dokumentacijo v mednarodno pisarno, ki vključuje: </w:t>
      </w:r>
    </w:p>
    <w:bookmarkEnd w:id="25"/>
    <w:p w14:paraId="03EB6BC7" w14:textId="77777777" w:rsidR="00AD54BD" w:rsidRPr="009E547D" w:rsidRDefault="00AD54BD" w:rsidP="00AD54BD">
      <w:pPr>
        <w:pStyle w:val="Odstavekseznama"/>
        <w:numPr>
          <w:ilvl w:val="1"/>
          <w:numId w:val="10"/>
        </w:numPr>
        <w:spacing w:after="0" w:line="240" w:lineRule="auto"/>
        <w:ind w:left="1134"/>
        <w:jc w:val="both"/>
      </w:pPr>
      <w:r w:rsidRPr="009E547D">
        <w:t>potrdilo o izvedeni Erasmus mobilnosti (</w:t>
      </w:r>
      <w:bookmarkStart w:id="26" w:name="_Hlk21337886"/>
      <w:proofErr w:type="spellStart"/>
      <w:r w:rsidRPr="009E547D">
        <w:t>Letter</w:t>
      </w:r>
      <w:proofErr w:type="spellEnd"/>
      <w:r w:rsidRPr="009E547D">
        <w:t xml:space="preserve"> of </w:t>
      </w:r>
      <w:proofErr w:type="spellStart"/>
      <w:r w:rsidRPr="009E547D">
        <w:t>confirmation</w:t>
      </w:r>
      <w:proofErr w:type="spellEnd"/>
      <w:r w:rsidRPr="009E547D">
        <w:t xml:space="preserve"> for Erasmus+ </w:t>
      </w:r>
      <w:proofErr w:type="spellStart"/>
      <w:r w:rsidRPr="009E547D">
        <w:t>Mobility</w:t>
      </w:r>
      <w:bookmarkEnd w:id="26"/>
      <w:proofErr w:type="spellEnd"/>
      <w:r w:rsidRPr="009E547D">
        <w:t xml:space="preserve"> - CAD),</w:t>
      </w:r>
    </w:p>
    <w:p w14:paraId="79927420" w14:textId="77777777" w:rsidR="00AD54BD" w:rsidRPr="009E547D" w:rsidRDefault="00AD54BD" w:rsidP="00AD54BD">
      <w:pPr>
        <w:pStyle w:val="Odstavekseznama"/>
        <w:numPr>
          <w:ilvl w:val="1"/>
          <w:numId w:val="10"/>
        </w:numPr>
        <w:spacing w:after="0" w:line="240" w:lineRule="auto"/>
        <w:ind w:left="1134"/>
        <w:jc w:val="both"/>
      </w:pPr>
      <w:r w:rsidRPr="009E547D">
        <w:t xml:space="preserve">obrazec Obračun upravičenih stroškov s potrebnimi prilogami (računi, cestninami …) in </w:t>
      </w:r>
    </w:p>
    <w:p w14:paraId="42EBF79C" w14:textId="77777777" w:rsidR="00D2408D" w:rsidRPr="009E547D" w:rsidRDefault="00D2408D" w:rsidP="00D2408D">
      <w:pPr>
        <w:pStyle w:val="Odstavekseznama"/>
        <w:numPr>
          <w:ilvl w:val="1"/>
          <w:numId w:val="10"/>
        </w:numPr>
        <w:spacing w:after="0" w:line="240" w:lineRule="auto"/>
        <w:ind w:left="1134"/>
        <w:jc w:val="both"/>
      </w:pPr>
      <w:r w:rsidRPr="009E547D">
        <w:t xml:space="preserve">končno </w:t>
      </w:r>
      <w:r>
        <w:t xml:space="preserve">B2 </w:t>
      </w:r>
      <w:r w:rsidRPr="009E547D">
        <w:t>VŠPV poročilo o mobilnosti</w:t>
      </w:r>
      <w:r>
        <w:t>, ki ga šola za to zaprosi</w:t>
      </w:r>
      <w:r w:rsidRPr="009E547D">
        <w:t>.</w:t>
      </w:r>
    </w:p>
    <w:p w14:paraId="50F9D66B" w14:textId="30BD63FD" w:rsidR="00995316" w:rsidRDefault="00995316" w:rsidP="00CE14D1">
      <w:pPr>
        <w:spacing w:after="0" w:line="240" w:lineRule="auto"/>
        <w:jc w:val="both"/>
        <w:rPr>
          <w:rFonts w:cstheme="minorHAnsi"/>
        </w:rPr>
      </w:pPr>
    </w:p>
    <w:p w14:paraId="15A47884" w14:textId="4F4538F1" w:rsidR="00CE14D1" w:rsidRDefault="0004163C">
      <w:pPr>
        <w:rPr>
          <w:rFonts w:cstheme="minorHAnsi"/>
        </w:rPr>
      </w:pPr>
      <w:bookmarkStart w:id="27" w:name="_Hlk116474364"/>
      <w:r w:rsidRPr="00071AAB">
        <w:rPr>
          <w:rFonts w:cstheme="minorHAnsi"/>
        </w:rPr>
        <w:t xml:space="preserve">Če kandidat </w:t>
      </w:r>
      <w:r w:rsidR="00846223">
        <w:rPr>
          <w:rFonts w:cstheme="minorHAnsi"/>
        </w:rPr>
        <w:t xml:space="preserve">ne odda ustrezne dokumentacije, </w:t>
      </w:r>
      <w:r w:rsidRPr="00071AAB">
        <w:rPr>
          <w:rFonts w:cstheme="minorHAnsi"/>
        </w:rPr>
        <w:t xml:space="preserve">si </w:t>
      </w:r>
      <w:r w:rsidR="00D2408D">
        <w:rPr>
          <w:rFonts w:cstheme="minorHAnsi"/>
        </w:rPr>
        <w:t xml:space="preserve">B2 </w:t>
      </w:r>
      <w:r w:rsidRPr="00071AAB">
        <w:rPr>
          <w:rFonts w:cstheme="minorHAnsi"/>
        </w:rPr>
        <w:t>VŠPV pridržuje pravico, da lahko od posameznika zahteva delno ali v celoti povrnjeno dotacijo</w:t>
      </w:r>
      <w:r w:rsidR="00846223">
        <w:rPr>
          <w:rFonts w:cstheme="minorHAnsi"/>
        </w:rPr>
        <w:t>.</w:t>
      </w:r>
    </w:p>
    <w:p w14:paraId="49FC45D8" w14:textId="77777777" w:rsidR="00AD54BD" w:rsidRDefault="00AD54BD">
      <w:pPr>
        <w:rPr>
          <w:rFonts w:eastAsiaTheme="majorEastAsia" w:cstheme="minorHAnsi"/>
          <w:b/>
          <w:sz w:val="24"/>
          <w:szCs w:val="24"/>
        </w:rPr>
      </w:pPr>
    </w:p>
    <w:bookmarkEnd w:id="27"/>
    <w:p w14:paraId="25D5B70C" w14:textId="0666179C" w:rsidR="00C66B94" w:rsidRDefault="00C66B94" w:rsidP="00E6161A">
      <w:pPr>
        <w:pStyle w:val="Naslov1"/>
      </w:pPr>
      <w:r w:rsidRPr="00071AAB">
        <w:t>Ugovor</w:t>
      </w:r>
    </w:p>
    <w:p w14:paraId="79B3ACBB" w14:textId="79D84B45" w:rsidR="00007CD7" w:rsidRDefault="00C66B94" w:rsidP="009D4993">
      <w:pPr>
        <w:spacing w:after="0" w:line="240" w:lineRule="auto"/>
        <w:jc w:val="both"/>
        <w:rPr>
          <w:rFonts w:cstheme="minorHAnsi"/>
        </w:rPr>
      </w:pPr>
      <w:bookmarkStart w:id="28" w:name="_Hlk21090074"/>
      <w:bookmarkStart w:id="29" w:name="_Hlk116474447"/>
      <w:r w:rsidRPr="00071AAB">
        <w:rPr>
          <w:rFonts w:cstheme="minorHAnsi"/>
        </w:rPr>
        <w:t>Za ugovore</w:t>
      </w:r>
      <w:r w:rsidR="00BB2D25">
        <w:rPr>
          <w:rFonts w:cstheme="minorHAnsi"/>
        </w:rPr>
        <w:t xml:space="preserve"> in pritožbe </w:t>
      </w:r>
      <w:r w:rsidRPr="00071AAB">
        <w:rPr>
          <w:rFonts w:cstheme="minorHAnsi"/>
        </w:rPr>
        <w:t xml:space="preserve">v zvezi </w:t>
      </w:r>
      <w:r w:rsidR="00BB2D25">
        <w:rPr>
          <w:rFonts w:cstheme="minorHAnsi"/>
        </w:rPr>
        <w:t xml:space="preserve">z </w:t>
      </w:r>
      <w:r w:rsidRPr="00071AAB">
        <w:rPr>
          <w:rFonts w:cstheme="minorHAnsi"/>
        </w:rPr>
        <w:t xml:space="preserve">nejasnostmi v postopku </w:t>
      </w:r>
      <w:r w:rsidR="00F663CA" w:rsidRPr="00071AAB">
        <w:rPr>
          <w:rFonts w:cstheme="minorHAnsi"/>
        </w:rPr>
        <w:t xml:space="preserve">izbora </w:t>
      </w:r>
      <w:r w:rsidRPr="00071AAB">
        <w:rPr>
          <w:rFonts w:cstheme="minorHAnsi"/>
        </w:rPr>
        <w:t xml:space="preserve">ali mobilnosti same je prvostopenjski organ </w:t>
      </w:r>
      <w:r w:rsidR="00D2408D">
        <w:rPr>
          <w:rFonts w:cstheme="minorHAnsi"/>
        </w:rPr>
        <w:t xml:space="preserve">B2 </w:t>
      </w:r>
      <w:r w:rsidR="00F663CA" w:rsidRPr="00071AAB">
        <w:rPr>
          <w:rFonts w:cstheme="minorHAnsi"/>
        </w:rPr>
        <w:t xml:space="preserve">VŠPV </w:t>
      </w:r>
      <w:r w:rsidRPr="00071AAB">
        <w:rPr>
          <w:rFonts w:cstheme="minorHAnsi"/>
        </w:rPr>
        <w:t xml:space="preserve">Erasmus komisija. Vloge </w:t>
      </w:r>
      <w:r w:rsidR="00F663CA" w:rsidRPr="00071AAB">
        <w:rPr>
          <w:rFonts w:cstheme="minorHAnsi"/>
        </w:rPr>
        <w:t xml:space="preserve">z ugovorom </w:t>
      </w:r>
      <w:r w:rsidRPr="00071AAB">
        <w:rPr>
          <w:rFonts w:cstheme="minorHAnsi"/>
        </w:rPr>
        <w:t>sprejema referat šole. Ugovor je potrebno poslati v roku 8 dni od prejetega sklepa o mobilnosti.</w:t>
      </w:r>
      <w:bookmarkEnd w:id="28"/>
    </w:p>
    <w:p w14:paraId="547B7968" w14:textId="77777777" w:rsidR="00AD54BD" w:rsidRPr="009D4993" w:rsidRDefault="00AD54BD" w:rsidP="009D4993">
      <w:pPr>
        <w:spacing w:after="0" w:line="240" w:lineRule="auto"/>
        <w:jc w:val="both"/>
        <w:rPr>
          <w:rFonts w:cstheme="minorHAnsi"/>
        </w:rPr>
      </w:pPr>
    </w:p>
    <w:bookmarkEnd w:id="29"/>
    <w:p w14:paraId="62BF0275" w14:textId="77777777" w:rsidR="00071AAB" w:rsidRPr="00071AAB" w:rsidRDefault="00071AAB" w:rsidP="00CE14D1">
      <w:pPr>
        <w:spacing w:after="0" w:line="240" w:lineRule="auto"/>
        <w:jc w:val="both"/>
      </w:pPr>
    </w:p>
    <w:p w14:paraId="6CCC9D76" w14:textId="54CE2B8D" w:rsidR="005C1741" w:rsidRDefault="005C1741" w:rsidP="00E6161A">
      <w:pPr>
        <w:pStyle w:val="Naslov1"/>
      </w:pPr>
      <w:r w:rsidRPr="00071AAB">
        <w:t>Ostale informacije</w:t>
      </w:r>
    </w:p>
    <w:p w14:paraId="52B91DC3" w14:textId="77777777" w:rsidR="00AD54BD" w:rsidRPr="001673B7" w:rsidRDefault="00AD54BD" w:rsidP="00AD54BD">
      <w:pPr>
        <w:spacing w:after="0" w:line="240" w:lineRule="auto"/>
      </w:pPr>
      <w:bookmarkStart w:id="30" w:name="_Hlk116474473"/>
      <w:bookmarkEnd w:id="17"/>
      <w:r w:rsidRPr="001673B7">
        <w:t>Za vsa dodatna pojasnila kontaktirajte Erasmus koordinatorico Špelo (</w:t>
      </w:r>
      <w:hyperlink r:id="rId10" w:history="1">
        <w:r w:rsidRPr="001673B7">
          <w:rPr>
            <w:rStyle w:val="Hiperpovezava"/>
          </w:rPr>
          <w:t>spela.pregl@vspv.si</w:t>
        </w:r>
      </w:hyperlink>
      <w:r w:rsidRPr="001673B7">
        <w:t xml:space="preserve">, 01 </w:t>
      </w:r>
      <w:r>
        <w:t>2444</w:t>
      </w:r>
      <w:r w:rsidRPr="001673B7">
        <w:t xml:space="preserve"> </w:t>
      </w:r>
      <w:r>
        <w:t>209</w:t>
      </w:r>
      <w:r w:rsidRPr="001673B7">
        <w:t xml:space="preserve">) ali </w:t>
      </w:r>
      <w:proofErr w:type="spellStart"/>
      <w:r w:rsidRPr="001673B7">
        <w:t>prodekanjo</w:t>
      </w:r>
      <w:proofErr w:type="spellEnd"/>
      <w:r w:rsidRPr="001673B7">
        <w:t xml:space="preserve"> Katarino (</w:t>
      </w:r>
      <w:r w:rsidRPr="003A5C2A">
        <w:rPr>
          <w:rStyle w:val="Hiperpovezava"/>
        </w:rPr>
        <w:t>katarina.askerc@vspv.si</w:t>
      </w:r>
      <w:r w:rsidRPr="001673B7">
        <w:t>).</w:t>
      </w:r>
    </w:p>
    <w:p w14:paraId="3429AE21" w14:textId="77777777" w:rsidR="00AD54BD" w:rsidRPr="009E547D" w:rsidRDefault="00AD54BD" w:rsidP="00AD54BD">
      <w:pPr>
        <w:spacing w:after="0" w:line="240" w:lineRule="auto"/>
      </w:pPr>
    </w:p>
    <w:p w14:paraId="0E003444" w14:textId="77777777" w:rsidR="00D2408D" w:rsidRDefault="00D2408D" w:rsidP="00AD54BD">
      <w:pPr>
        <w:spacing w:after="0" w:line="240" w:lineRule="auto"/>
      </w:pPr>
    </w:p>
    <w:p w14:paraId="3E09F218" w14:textId="22B4D29A" w:rsidR="00AD54BD" w:rsidRPr="009E547D" w:rsidRDefault="00AD54BD" w:rsidP="00D2408D">
      <w:pPr>
        <w:spacing w:after="0" w:line="240" w:lineRule="auto"/>
        <w:jc w:val="right"/>
      </w:pPr>
      <w:r w:rsidRPr="009E547D">
        <w:t xml:space="preserve">Ljubljana, </w:t>
      </w:r>
      <w:r w:rsidR="00D2408D" w:rsidRPr="009E547D">
        <w:t>1</w:t>
      </w:r>
      <w:r w:rsidR="00D2408D">
        <w:t>2</w:t>
      </w:r>
      <w:r w:rsidR="00D2408D" w:rsidRPr="009E547D">
        <w:t xml:space="preserve">. </w:t>
      </w:r>
      <w:r w:rsidR="00D2408D">
        <w:t>8</w:t>
      </w:r>
      <w:r w:rsidR="00D2408D" w:rsidRPr="009E547D">
        <w:t>. 202</w:t>
      </w:r>
      <w:r w:rsidR="00D2408D">
        <w:t>4</w:t>
      </w:r>
    </w:p>
    <w:p w14:paraId="1E994ED9" w14:textId="77777777" w:rsidR="00AD54BD" w:rsidRPr="009E547D" w:rsidRDefault="00AD54BD" w:rsidP="00AD54BD">
      <w:pPr>
        <w:spacing w:after="0" w:line="240" w:lineRule="auto"/>
      </w:pPr>
    </w:p>
    <w:p w14:paraId="7A72A349" w14:textId="77777777" w:rsidR="00AD54BD" w:rsidRDefault="00AD54BD" w:rsidP="00AD54BD">
      <w:pPr>
        <w:spacing w:after="0" w:line="240" w:lineRule="auto"/>
      </w:pPr>
    </w:p>
    <w:p w14:paraId="5B7FCB8E" w14:textId="77777777" w:rsidR="00AD54BD" w:rsidRPr="009E547D" w:rsidRDefault="00AD54BD" w:rsidP="00AD54BD">
      <w:pPr>
        <w:spacing w:after="0" w:line="240" w:lineRule="auto"/>
      </w:pPr>
    </w:p>
    <w:p w14:paraId="2AD631C7" w14:textId="6E303B18" w:rsidR="00C84985" w:rsidRPr="00D2408D" w:rsidRDefault="00AD54BD" w:rsidP="00AD54BD">
      <w:pPr>
        <w:spacing w:after="0" w:line="240" w:lineRule="auto"/>
      </w:pPr>
      <w:r w:rsidRPr="009E547D">
        <w:t>Prilog</w:t>
      </w:r>
      <w:r w:rsidR="00D2408D">
        <w:t>a</w:t>
      </w:r>
      <w:r w:rsidRPr="009E547D">
        <w:t>:</w:t>
      </w:r>
      <w:r w:rsidR="00D2408D">
        <w:t xml:space="preserve"> </w:t>
      </w:r>
      <w:r w:rsidRPr="009E547D">
        <w:t>Prijavnica za Erasmus+ mobilnost</w:t>
      </w:r>
      <w:bookmarkEnd w:id="30"/>
    </w:p>
    <w:sectPr w:rsidR="00C84985" w:rsidRPr="00D2408D" w:rsidSect="00BB1ECE">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59282" w14:textId="77777777" w:rsidR="00CC6A89" w:rsidRDefault="00CC6A89" w:rsidP="00CC6A89">
      <w:pPr>
        <w:spacing w:after="0" w:line="240" w:lineRule="auto"/>
      </w:pPr>
      <w:r>
        <w:separator/>
      </w:r>
    </w:p>
  </w:endnote>
  <w:endnote w:type="continuationSeparator" w:id="0">
    <w:p w14:paraId="250435CD" w14:textId="77777777" w:rsidR="00CC6A89" w:rsidRDefault="00CC6A89" w:rsidP="00CC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0CF1" w14:textId="77777777" w:rsidR="00C04B35" w:rsidRDefault="00C04B3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1852E" w14:textId="2E4628C9" w:rsidR="00C878CE" w:rsidRDefault="00C878CE">
    <w:pPr>
      <w:pStyle w:val="Noga"/>
    </w:pPr>
    <w:r w:rsidRPr="006B57D7">
      <w:rPr>
        <w:noProof/>
        <w:lang w:eastAsia="sl-SI"/>
      </w:rPr>
      <w:drawing>
        <wp:inline distT="0" distB="0" distL="0" distR="0" wp14:anchorId="54977911" wp14:editId="3134A422">
          <wp:extent cx="1971675" cy="562439"/>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068" cy="58765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C155" w14:textId="77777777" w:rsidR="00C04B35" w:rsidRDefault="00C04B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7924E" w14:textId="77777777" w:rsidR="00CC6A89" w:rsidRDefault="00CC6A89" w:rsidP="00CC6A89">
      <w:pPr>
        <w:spacing w:after="0" w:line="240" w:lineRule="auto"/>
      </w:pPr>
      <w:r>
        <w:separator/>
      </w:r>
    </w:p>
  </w:footnote>
  <w:footnote w:type="continuationSeparator" w:id="0">
    <w:p w14:paraId="09582357" w14:textId="77777777" w:rsidR="00CC6A89" w:rsidRDefault="00CC6A89" w:rsidP="00CC6A89">
      <w:pPr>
        <w:spacing w:after="0" w:line="240" w:lineRule="auto"/>
      </w:pPr>
      <w:r>
        <w:continuationSeparator/>
      </w:r>
    </w:p>
  </w:footnote>
  <w:footnote w:id="1">
    <w:p w14:paraId="5D1B77ED" w14:textId="11BB73C6" w:rsidR="00007CD7" w:rsidRPr="00071AAB" w:rsidRDefault="00007CD7" w:rsidP="00071AAB">
      <w:pPr>
        <w:spacing w:after="0" w:line="240" w:lineRule="auto"/>
        <w:rPr>
          <w:sz w:val="18"/>
          <w:szCs w:val="18"/>
        </w:rPr>
      </w:pPr>
      <w:r w:rsidRPr="00071AAB">
        <w:rPr>
          <w:rStyle w:val="Sprotnaopomba-sklic"/>
          <w:sz w:val="18"/>
          <w:szCs w:val="18"/>
        </w:rPr>
        <w:footnoteRef/>
      </w:r>
      <w:r w:rsidRPr="00071AAB">
        <w:rPr>
          <w:sz w:val="18"/>
          <w:szCs w:val="18"/>
        </w:rPr>
        <w:t xml:space="preserve"> V razpisu uporabljeni izrazi, zapisani v slovnični obliki moškega spola, so uporabljeni kot nevtralni in veljajo enakovredno za oba spola.</w:t>
      </w:r>
    </w:p>
  </w:footnote>
  <w:footnote w:id="2">
    <w:p w14:paraId="2ECEE888" w14:textId="37F0286B" w:rsidR="001E6BE1" w:rsidRPr="00071AAB" w:rsidRDefault="001E6BE1" w:rsidP="00071AAB">
      <w:pPr>
        <w:pStyle w:val="Sprotnaopomba-besedilo"/>
        <w:rPr>
          <w:sz w:val="18"/>
          <w:szCs w:val="18"/>
        </w:rPr>
      </w:pPr>
      <w:r w:rsidRPr="00071AAB">
        <w:rPr>
          <w:rStyle w:val="Sprotnaopomba-sklic"/>
          <w:sz w:val="18"/>
          <w:szCs w:val="18"/>
        </w:rPr>
        <w:footnoteRef/>
      </w:r>
      <w:r w:rsidRPr="00071AAB">
        <w:rPr>
          <w:sz w:val="18"/>
          <w:szCs w:val="18"/>
        </w:rPr>
        <w:t xml:space="preserve"> </w:t>
      </w:r>
      <w:r w:rsidRPr="00071AAB">
        <w:rPr>
          <w:sz w:val="18"/>
          <w:szCs w:val="18"/>
        </w:rPr>
        <w:t>Razdalja se izračuna s kalkulatorjem razdalje, ki ga podpira Evropska komisija (</w:t>
      </w:r>
      <w:hyperlink r:id="rId1" w:history="1">
        <w:r w:rsidRPr="00071AAB">
          <w:rPr>
            <w:rStyle w:val="Hiperpovezava"/>
            <w:sz w:val="18"/>
            <w:szCs w:val="18"/>
          </w:rPr>
          <w:t>http://ec.europa.eu/programmes/erasmus-plus/tools/distance_sl.htm</w:t>
        </w:r>
      </w:hyperlink>
      <w:r w:rsidRPr="00071AAB">
        <w:rPr>
          <w:sz w:val="18"/>
          <w:szCs w:val="18"/>
        </w:rPr>
        <w:t>). Razdaljo enosmerne poti je treba uporabiti za izračun zneska dotacije EU za kritje povratne poti.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99EB" w14:textId="77777777" w:rsidR="00C04B35" w:rsidRDefault="00C04B3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69E16" w14:textId="08C3ED8C" w:rsidR="00CC6A89" w:rsidRDefault="002A6D23" w:rsidP="00A163E2">
    <w:pPr>
      <w:pStyle w:val="Glava"/>
      <w:jc w:val="right"/>
    </w:pPr>
    <w:r w:rsidRPr="00C32E16">
      <w:rPr>
        <w:noProof/>
      </w:rPr>
      <w:drawing>
        <wp:inline distT="0" distB="0" distL="0" distR="0" wp14:anchorId="0F29B19E" wp14:editId="4D09B725">
          <wp:extent cx="2124075" cy="628650"/>
          <wp:effectExtent l="0" t="0" r="9525" b="0"/>
          <wp:docPr id="1837293547" name="Slika 1" descr="Slika, ki vsebuje besede besedilo, pisava, grafika,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ki vsebuje besede besedilo, pisava, grafika, posnetek zaslon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ED734" w14:textId="77777777" w:rsidR="00C04B35" w:rsidRDefault="00C04B3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7E55"/>
    <w:multiLevelType w:val="hybridMultilevel"/>
    <w:tmpl w:val="F34A1756"/>
    <w:lvl w:ilvl="0" w:tplc="8ECE0B7C">
      <w:start w:val="180"/>
      <w:numFmt w:val="bullet"/>
      <w:lvlText w:val=""/>
      <w:lvlJc w:val="left"/>
      <w:pPr>
        <w:ind w:left="720" w:hanging="360"/>
      </w:pPr>
      <w:rPr>
        <w:rFonts w:ascii="Wingdings" w:eastAsiaTheme="minorHAnsi" w:hAnsi="Wingdings" w:cstheme="minorHAns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909B2"/>
    <w:multiLevelType w:val="hybridMultilevel"/>
    <w:tmpl w:val="830002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1366D9"/>
    <w:multiLevelType w:val="hybridMultilevel"/>
    <w:tmpl w:val="77F68B50"/>
    <w:lvl w:ilvl="0" w:tplc="10E0CB3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BD181D"/>
    <w:multiLevelType w:val="multilevel"/>
    <w:tmpl w:val="7D521B50"/>
    <w:lvl w:ilvl="0">
      <w:start w:val="1"/>
      <w:numFmt w:val="decimal"/>
      <w:pStyle w:val="Naslov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19912FB"/>
    <w:multiLevelType w:val="hybridMultilevel"/>
    <w:tmpl w:val="BCF8F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961129"/>
    <w:multiLevelType w:val="hybridMultilevel"/>
    <w:tmpl w:val="F5AECF44"/>
    <w:lvl w:ilvl="0" w:tplc="F8F8F3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351E43"/>
    <w:multiLevelType w:val="hybridMultilevel"/>
    <w:tmpl w:val="3B3028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0A4030"/>
    <w:multiLevelType w:val="hybridMultilevel"/>
    <w:tmpl w:val="65F013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571961"/>
    <w:multiLevelType w:val="hybridMultilevel"/>
    <w:tmpl w:val="AB2EA73E"/>
    <w:lvl w:ilvl="0" w:tplc="15EA039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3B15D6"/>
    <w:multiLevelType w:val="multilevel"/>
    <w:tmpl w:val="E3667B5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6781E23"/>
    <w:multiLevelType w:val="hybridMultilevel"/>
    <w:tmpl w:val="019068D6"/>
    <w:lvl w:ilvl="0" w:tplc="AB705D84">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7C76D9"/>
    <w:multiLevelType w:val="hybridMultilevel"/>
    <w:tmpl w:val="87E6F92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0A39C6"/>
    <w:multiLevelType w:val="hybridMultilevel"/>
    <w:tmpl w:val="3E4C7E16"/>
    <w:lvl w:ilvl="0" w:tplc="15EA039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3EB6B8E"/>
    <w:multiLevelType w:val="hybridMultilevel"/>
    <w:tmpl w:val="D466D2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F67113D"/>
    <w:multiLevelType w:val="hybridMultilevel"/>
    <w:tmpl w:val="E5B61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5254839">
    <w:abstractNumId w:val="10"/>
  </w:num>
  <w:num w:numId="2" w16cid:durableId="1715234077">
    <w:abstractNumId w:val="11"/>
  </w:num>
  <w:num w:numId="3" w16cid:durableId="923565337">
    <w:abstractNumId w:val="14"/>
  </w:num>
  <w:num w:numId="4" w16cid:durableId="731194099">
    <w:abstractNumId w:val="4"/>
  </w:num>
  <w:num w:numId="5" w16cid:durableId="2133740883">
    <w:abstractNumId w:val="7"/>
  </w:num>
  <w:num w:numId="6" w16cid:durableId="1998529202">
    <w:abstractNumId w:val="2"/>
  </w:num>
  <w:num w:numId="7" w16cid:durableId="1121804558">
    <w:abstractNumId w:val="6"/>
  </w:num>
  <w:num w:numId="8" w16cid:durableId="425350651">
    <w:abstractNumId w:val="13"/>
  </w:num>
  <w:num w:numId="9" w16cid:durableId="1633750754">
    <w:abstractNumId w:val="3"/>
  </w:num>
  <w:num w:numId="10" w16cid:durableId="1414740204">
    <w:abstractNumId w:val="8"/>
  </w:num>
  <w:num w:numId="11" w16cid:durableId="1194153777">
    <w:abstractNumId w:val="1"/>
  </w:num>
  <w:num w:numId="12" w16cid:durableId="1561095286">
    <w:abstractNumId w:val="5"/>
  </w:num>
  <w:num w:numId="13" w16cid:durableId="2002274025">
    <w:abstractNumId w:val="12"/>
  </w:num>
  <w:num w:numId="14" w16cid:durableId="1111318539">
    <w:abstractNumId w:val="3"/>
  </w:num>
  <w:num w:numId="15" w16cid:durableId="20399679">
    <w:abstractNumId w:val="3"/>
  </w:num>
  <w:num w:numId="16" w16cid:durableId="221063353">
    <w:abstractNumId w:val="3"/>
  </w:num>
  <w:num w:numId="17" w16cid:durableId="2033408728">
    <w:abstractNumId w:val="0"/>
  </w:num>
  <w:num w:numId="18" w16cid:durableId="1498495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A89"/>
    <w:rsid w:val="00007CD7"/>
    <w:rsid w:val="0001449D"/>
    <w:rsid w:val="0001527A"/>
    <w:rsid w:val="000355E2"/>
    <w:rsid w:val="00036EAC"/>
    <w:rsid w:val="0004163C"/>
    <w:rsid w:val="00041F25"/>
    <w:rsid w:val="0004375A"/>
    <w:rsid w:val="0004392F"/>
    <w:rsid w:val="00044427"/>
    <w:rsid w:val="000623F5"/>
    <w:rsid w:val="00066DF4"/>
    <w:rsid w:val="00071AAB"/>
    <w:rsid w:val="000A23EF"/>
    <w:rsid w:val="000A2C3E"/>
    <w:rsid w:val="000B114E"/>
    <w:rsid w:val="000C2ABC"/>
    <w:rsid w:val="000C3BD7"/>
    <w:rsid w:val="001242BF"/>
    <w:rsid w:val="00144137"/>
    <w:rsid w:val="00156AF3"/>
    <w:rsid w:val="00157862"/>
    <w:rsid w:val="001649E7"/>
    <w:rsid w:val="00176789"/>
    <w:rsid w:val="001A319B"/>
    <w:rsid w:val="001E3B26"/>
    <w:rsid w:val="001E6BE1"/>
    <w:rsid w:val="001F6DCD"/>
    <w:rsid w:val="00255C6A"/>
    <w:rsid w:val="002A6174"/>
    <w:rsid w:val="002A6D23"/>
    <w:rsid w:val="002B49F4"/>
    <w:rsid w:val="002C2429"/>
    <w:rsid w:val="002E7673"/>
    <w:rsid w:val="003167D2"/>
    <w:rsid w:val="0032073E"/>
    <w:rsid w:val="003222A7"/>
    <w:rsid w:val="003A203E"/>
    <w:rsid w:val="003C13A4"/>
    <w:rsid w:val="003C6CF5"/>
    <w:rsid w:val="003D0535"/>
    <w:rsid w:val="003D4D62"/>
    <w:rsid w:val="003D551D"/>
    <w:rsid w:val="003F563D"/>
    <w:rsid w:val="00401FC9"/>
    <w:rsid w:val="00407DB2"/>
    <w:rsid w:val="00420F4F"/>
    <w:rsid w:val="00446A59"/>
    <w:rsid w:val="00446D24"/>
    <w:rsid w:val="00467D3C"/>
    <w:rsid w:val="00471B76"/>
    <w:rsid w:val="0047632F"/>
    <w:rsid w:val="004C3A01"/>
    <w:rsid w:val="004C6AD5"/>
    <w:rsid w:val="00514B36"/>
    <w:rsid w:val="00537C88"/>
    <w:rsid w:val="005A4987"/>
    <w:rsid w:val="005A78CC"/>
    <w:rsid w:val="005C1741"/>
    <w:rsid w:val="005C4299"/>
    <w:rsid w:val="006001DA"/>
    <w:rsid w:val="00602936"/>
    <w:rsid w:val="0062135E"/>
    <w:rsid w:val="00632B0E"/>
    <w:rsid w:val="006523C9"/>
    <w:rsid w:val="00682BDA"/>
    <w:rsid w:val="006B4263"/>
    <w:rsid w:val="006B460D"/>
    <w:rsid w:val="006C73FC"/>
    <w:rsid w:val="006D0D36"/>
    <w:rsid w:val="006F142D"/>
    <w:rsid w:val="00721AE5"/>
    <w:rsid w:val="00725459"/>
    <w:rsid w:val="007506E9"/>
    <w:rsid w:val="00786441"/>
    <w:rsid w:val="007927E4"/>
    <w:rsid w:val="0079364E"/>
    <w:rsid w:val="00794FE0"/>
    <w:rsid w:val="007D21B3"/>
    <w:rsid w:val="00805715"/>
    <w:rsid w:val="0080649D"/>
    <w:rsid w:val="008176C8"/>
    <w:rsid w:val="008231BC"/>
    <w:rsid w:val="00846223"/>
    <w:rsid w:val="00863FFD"/>
    <w:rsid w:val="008840A7"/>
    <w:rsid w:val="008953BC"/>
    <w:rsid w:val="00895E1D"/>
    <w:rsid w:val="008A15C2"/>
    <w:rsid w:val="008B6182"/>
    <w:rsid w:val="008E3A8D"/>
    <w:rsid w:val="008E4151"/>
    <w:rsid w:val="008E5A4F"/>
    <w:rsid w:val="008E6104"/>
    <w:rsid w:val="008F568B"/>
    <w:rsid w:val="00905AF9"/>
    <w:rsid w:val="00915DD7"/>
    <w:rsid w:val="00953707"/>
    <w:rsid w:val="00981D3D"/>
    <w:rsid w:val="0099043F"/>
    <w:rsid w:val="00995316"/>
    <w:rsid w:val="00995C76"/>
    <w:rsid w:val="009A1ECA"/>
    <w:rsid w:val="009D4993"/>
    <w:rsid w:val="009D7365"/>
    <w:rsid w:val="009E2BC7"/>
    <w:rsid w:val="009E64DE"/>
    <w:rsid w:val="00A000A3"/>
    <w:rsid w:val="00A163E2"/>
    <w:rsid w:val="00A42FE7"/>
    <w:rsid w:val="00A51160"/>
    <w:rsid w:val="00A95DBF"/>
    <w:rsid w:val="00AA0ADC"/>
    <w:rsid w:val="00AD54BD"/>
    <w:rsid w:val="00B01DFF"/>
    <w:rsid w:val="00B12549"/>
    <w:rsid w:val="00B20210"/>
    <w:rsid w:val="00B24FA1"/>
    <w:rsid w:val="00B4230E"/>
    <w:rsid w:val="00B45CA5"/>
    <w:rsid w:val="00B552F1"/>
    <w:rsid w:val="00B71659"/>
    <w:rsid w:val="00B72FD1"/>
    <w:rsid w:val="00B8440D"/>
    <w:rsid w:val="00BA2A10"/>
    <w:rsid w:val="00BA2FC6"/>
    <w:rsid w:val="00BB1ECE"/>
    <w:rsid w:val="00BB2D25"/>
    <w:rsid w:val="00BE1FB2"/>
    <w:rsid w:val="00BE3466"/>
    <w:rsid w:val="00C04B35"/>
    <w:rsid w:val="00C1646B"/>
    <w:rsid w:val="00C22DF6"/>
    <w:rsid w:val="00C44F5F"/>
    <w:rsid w:val="00C66B94"/>
    <w:rsid w:val="00C84985"/>
    <w:rsid w:val="00C878CE"/>
    <w:rsid w:val="00CA2E53"/>
    <w:rsid w:val="00CA59D4"/>
    <w:rsid w:val="00CB1EA5"/>
    <w:rsid w:val="00CC6A89"/>
    <w:rsid w:val="00CD3894"/>
    <w:rsid w:val="00CE14D1"/>
    <w:rsid w:val="00D1021F"/>
    <w:rsid w:val="00D11F0D"/>
    <w:rsid w:val="00D2408D"/>
    <w:rsid w:val="00D63D33"/>
    <w:rsid w:val="00D75D73"/>
    <w:rsid w:val="00D862BD"/>
    <w:rsid w:val="00D874D2"/>
    <w:rsid w:val="00D8792D"/>
    <w:rsid w:val="00DB7E80"/>
    <w:rsid w:val="00DC52D4"/>
    <w:rsid w:val="00DC5F77"/>
    <w:rsid w:val="00DE0F6D"/>
    <w:rsid w:val="00DE52A1"/>
    <w:rsid w:val="00DF70A5"/>
    <w:rsid w:val="00E0688C"/>
    <w:rsid w:val="00E31916"/>
    <w:rsid w:val="00E35E26"/>
    <w:rsid w:val="00E460F6"/>
    <w:rsid w:val="00E53A6E"/>
    <w:rsid w:val="00E6161A"/>
    <w:rsid w:val="00E6218C"/>
    <w:rsid w:val="00E96D20"/>
    <w:rsid w:val="00ED2947"/>
    <w:rsid w:val="00EF4873"/>
    <w:rsid w:val="00F053AC"/>
    <w:rsid w:val="00F204BA"/>
    <w:rsid w:val="00F20B43"/>
    <w:rsid w:val="00F263B6"/>
    <w:rsid w:val="00F35DBD"/>
    <w:rsid w:val="00F4315E"/>
    <w:rsid w:val="00F663CA"/>
    <w:rsid w:val="00F752D4"/>
    <w:rsid w:val="00F87D33"/>
    <w:rsid w:val="00FC57BD"/>
    <w:rsid w:val="00FF548C"/>
    <w:rsid w:val="00FF6F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4EC72F6"/>
  <w15:chartTrackingRefBased/>
  <w15:docId w15:val="{F23BAD1B-9AE8-4952-9956-1E43A470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6161A"/>
    <w:pPr>
      <w:keepNext/>
      <w:keepLines/>
      <w:numPr>
        <w:numId w:val="9"/>
      </w:numPr>
      <w:spacing w:after="240" w:line="240" w:lineRule="auto"/>
      <w:jc w:val="both"/>
      <w:outlineLvl w:val="0"/>
    </w:pPr>
    <w:rPr>
      <w:rFonts w:eastAsiaTheme="majorEastAsia" w:cstheme="minorHAnsi"/>
      <w:b/>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C6A89"/>
    <w:pPr>
      <w:tabs>
        <w:tab w:val="center" w:pos="4536"/>
        <w:tab w:val="right" w:pos="9072"/>
      </w:tabs>
      <w:spacing w:after="0" w:line="240" w:lineRule="auto"/>
    </w:pPr>
  </w:style>
  <w:style w:type="character" w:customStyle="1" w:styleId="GlavaZnak">
    <w:name w:val="Glava Znak"/>
    <w:basedOn w:val="Privzetapisavaodstavka"/>
    <w:link w:val="Glava"/>
    <w:uiPriority w:val="99"/>
    <w:rsid w:val="00CC6A89"/>
  </w:style>
  <w:style w:type="paragraph" w:styleId="Noga">
    <w:name w:val="footer"/>
    <w:basedOn w:val="Navaden"/>
    <w:link w:val="NogaZnak"/>
    <w:uiPriority w:val="99"/>
    <w:unhideWhenUsed/>
    <w:rsid w:val="00CC6A89"/>
    <w:pPr>
      <w:tabs>
        <w:tab w:val="center" w:pos="4536"/>
        <w:tab w:val="right" w:pos="9072"/>
      </w:tabs>
      <w:spacing w:after="0" w:line="240" w:lineRule="auto"/>
    </w:pPr>
  </w:style>
  <w:style w:type="character" w:customStyle="1" w:styleId="NogaZnak">
    <w:name w:val="Noga Znak"/>
    <w:basedOn w:val="Privzetapisavaodstavka"/>
    <w:link w:val="Noga"/>
    <w:uiPriority w:val="99"/>
    <w:rsid w:val="00CC6A89"/>
  </w:style>
  <w:style w:type="table" w:styleId="Tabelamrea">
    <w:name w:val="Table Grid"/>
    <w:basedOn w:val="Navadnatabela"/>
    <w:uiPriority w:val="39"/>
    <w:rsid w:val="00D8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52D4"/>
    <w:pPr>
      <w:ind w:left="720"/>
      <w:contextualSpacing/>
    </w:pPr>
  </w:style>
  <w:style w:type="character" w:styleId="Hiperpovezava">
    <w:name w:val="Hyperlink"/>
    <w:basedOn w:val="Privzetapisavaodstavka"/>
    <w:uiPriority w:val="99"/>
    <w:unhideWhenUsed/>
    <w:rsid w:val="005C1741"/>
    <w:rPr>
      <w:color w:val="0563C1" w:themeColor="hyperlink"/>
      <w:u w:val="single"/>
    </w:rPr>
  </w:style>
  <w:style w:type="character" w:styleId="SledenaHiperpovezava">
    <w:name w:val="FollowedHyperlink"/>
    <w:basedOn w:val="Privzetapisavaodstavka"/>
    <w:uiPriority w:val="99"/>
    <w:semiHidden/>
    <w:unhideWhenUsed/>
    <w:rsid w:val="00B45CA5"/>
    <w:rPr>
      <w:color w:val="954F72" w:themeColor="followedHyperlink"/>
      <w:u w:val="single"/>
    </w:rPr>
  </w:style>
  <w:style w:type="character" w:styleId="Pripombasklic">
    <w:name w:val="annotation reference"/>
    <w:basedOn w:val="Privzetapisavaodstavka"/>
    <w:uiPriority w:val="99"/>
    <w:semiHidden/>
    <w:unhideWhenUsed/>
    <w:rsid w:val="00144137"/>
    <w:rPr>
      <w:sz w:val="16"/>
      <w:szCs w:val="16"/>
    </w:rPr>
  </w:style>
  <w:style w:type="paragraph" w:styleId="Pripombabesedilo">
    <w:name w:val="annotation text"/>
    <w:basedOn w:val="Navaden"/>
    <w:link w:val="PripombabesediloZnak"/>
    <w:uiPriority w:val="99"/>
    <w:semiHidden/>
    <w:unhideWhenUsed/>
    <w:rsid w:val="0014413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44137"/>
    <w:rPr>
      <w:sz w:val="20"/>
      <w:szCs w:val="20"/>
    </w:rPr>
  </w:style>
  <w:style w:type="paragraph" w:styleId="Zadevapripombe">
    <w:name w:val="annotation subject"/>
    <w:basedOn w:val="Pripombabesedilo"/>
    <w:next w:val="Pripombabesedilo"/>
    <w:link w:val="ZadevapripombeZnak"/>
    <w:uiPriority w:val="99"/>
    <w:semiHidden/>
    <w:unhideWhenUsed/>
    <w:rsid w:val="00144137"/>
    <w:rPr>
      <w:b/>
      <w:bCs/>
    </w:rPr>
  </w:style>
  <w:style w:type="character" w:customStyle="1" w:styleId="ZadevapripombeZnak">
    <w:name w:val="Zadeva pripombe Znak"/>
    <w:basedOn w:val="PripombabesediloZnak"/>
    <w:link w:val="Zadevapripombe"/>
    <w:uiPriority w:val="99"/>
    <w:semiHidden/>
    <w:rsid w:val="00144137"/>
    <w:rPr>
      <w:b/>
      <w:bCs/>
      <w:sz w:val="20"/>
      <w:szCs w:val="20"/>
    </w:rPr>
  </w:style>
  <w:style w:type="paragraph" w:styleId="Besedilooblaka">
    <w:name w:val="Balloon Text"/>
    <w:basedOn w:val="Navaden"/>
    <w:link w:val="BesedilooblakaZnak"/>
    <w:uiPriority w:val="99"/>
    <w:semiHidden/>
    <w:unhideWhenUsed/>
    <w:rsid w:val="001441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44137"/>
    <w:rPr>
      <w:rFonts w:ascii="Segoe UI" w:hAnsi="Segoe UI" w:cs="Segoe UI"/>
      <w:sz w:val="18"/>
      <w:szCs w:val="18"/>
    </w:rPr>
  </w:style>
  <w:style w:type="character" w:customStyle="1" w:styleId="Naslov1Znak">
    <w:name w:val="Naslov 1 Znak"/>
    <w:basedOn w:val="Privzetapisavaodstavka"/>
    <w:link w:val="Naslov1"/>
    <w:uiPriority w:val="9"/>
    <w:rsid w:val="00E6161A"/>
    <w:rPr>
      <w:rFonts w:eastAsiaTheme="majorEastAsia" w:cstheme="minorHAnsi"/>
      <w:b/>
      <w:sz w:val="24"/>
      <w:szCs w:val="24"/>
    </w:rPr>
  </w:style>
  <w:style w:type="paragraph" w:styleId="Sprotnaopomba-besedilo">
    <w:name w:val="footnote text"/>
    <w:basedOn w:val="Navaden"/>
    <w:link w:val="Sprotnaopomba-besediloZnak"/>
    <w:uiPriority w:val="99"/>
    <w:semiHidden/>
    <w:unhideWhenUsed/>
    <w:rsid w:val="001E6BE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E6BE1"/>
    <w:rPr>
      <w:sz w:val="20"/>
      <w:szCs w:val="20"/>
    </w:rPr>
  </w:style>
  <w:style w:type="character" w:styleId="Sprotnaopomba-sklic">
    <w:name w:val="footnote reference"/>
    <w:basedOn w:val="Privzetapisavaodstavka"/>
    <w:uiPriority w:val="99"/>
    <w:semiHidden/>
    <w:unhideWhenUsed/>
    <w:rsid w:val="001E6BE1"/>
    <w:rPr>
      <w:vertAlign w:val="superscript"/>
    </w:rPr>
  </w:style>
  <w:style w:type="character" w:customStyle="1" w:styleId="Nerazreenaomemba1">
    <w:name w:val="Nerazrešena omemba1"/>
    <w:basedOn w:val="Privzetapisavaodstavka"/>
    <w:uiPriority w:val="99"/>
    <w:semiHidden/>
    <w:unhideWhenUsed/>
    <w:rsid w:val="001E6BE1"/>
    <w:rPr>
      <w:color w:val="605E5C"/>
      <w:shd w:val="clear" w:color="auto" w:fill="E1DFDD"/>
    </w:rPr>
  </w:style>
  <w:style w:type="character" w:styleId="Nerazreenaomemba">
    <w:name w:val="Unresolved Mention"/>
    <w:basedOn w:val="Privzetapisavaodstavka"/>
    <w:uiPriority w:val="99"/>
    <w:semiHidden/>
    <w:unhideWhenUsed/>
    <w:rsid w:val="00E0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5166">
      <w:bodyDiv w:val="1"/>
      <w:marLeft w:val="0"/>
      <w:marRight w:val="0"/>
      <w:marTop w:val="0"/>
      <w:marBottom w:val="0"/>
      <w:divBdr>
        <w:top w:val="none" w:sz="0" w:space="0" w:color="auto"/>
        <w:left w:val="none" w:sz="0" w:space="0" w:color="auto"/>
        <w:bottom w:val="none" w:sz="0" w:space="0" w:color="auto"/>
        <w:right w:val="none" w:sz="0" w:space="0" w:color="auto"/>
      </w:divBdr>
    </w:div>
    <w:div w:id="386926807">
      <w:bodyDiv w:val="1"/>
      <w:marLeft w:val="0"/>
      <w:marRight w:val="0"/>
      <w:marTop w:val="0"/>
      <w:marBottom w:val="0"/>
      <w:divBdr>
        <w:top w:val="none" w:sz="0" w:space="0" w:color="auto"/>
        <w:left w:val="none" w:sz="0" w:space="0" w:color="auto"/>
        <w:bottom w:val="none" w:sz="0" w:space="0" w:color="auto"/>
        <w:right w:val="none" w:sz="0" w:space="0" w:color="auto"/>
      </w:divBdr>
    </w:div>
    <w:div w:id="740057773">
      <w:bodyDiv w:val="1"/>
      <w:marLeft w:val="0"/>
      <w:marRight w:val="0"/>
      <w:marTop w:val="0"/>
      <w:marBottom w:val="0"/>
      <w:divBdr>
        <w:top w:val="none" w:sz="0" w:space="0" w:color="auto"/>
        <w:left w:val="none" w:sz="0" w:space="0" w:color="auto"/>
        <w:bottom w:val="none" w:sz="0" w:space="0" w:color="auto"/>
        <w:right w:val="none" w:sz="0" w:space="0" w:color="auto"/>
      </w:divBdr>
    </w:div>
    <w:div w:id="16881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pv.si/sl/mednarodno-sodelovanje/partnerske-institucij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ela.pregl@vspv.si" TargetMode="External"/><Relationship Id="rId4" Type="http://schemas.openxmlformats.org/officeDocument/2006/relationships/settings" Target="settings.xml"/><Relationship Id="rId9" Type="http://schemas.openxmlformats.org/officeDocument/2006/relationships/hyperlink" Target="mailto:spela.pregl@vspv.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ec.europa.eu/programmes/erasmus-plus/tools/distance_sl.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F90823-EDA5-4DB6-8221-CA339CAF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Pages>
  <Words>1791</Words>
  <Characters>10210</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Vaupotič</dc:creator>
  <cp:keywords/>
  <dc:description/>
  <cp:lastModifiedBy>Katarina Aškerc Zadravec</cp:lastModifiedBy>
  <cp:revision>27</cp:revision>
  <cp:lastPrinted>2022-10-12T12:52:00Z</cp:lastPrinted>
  <dcterms:created xsi:type="dcterms:W3CDTF">2020-10-14T09:42:00Z</dcterms:created>
  <dcterms:modified xsi:type="dcterms:W3CDTF">2024-10-08T12:02:00Z</dcterms:modified>
</cp:coreProperties>
</file>